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ظافر المدني
</w:t>
      </w:r>
    </w:p>
    <w:p>
      <w:pPr>
        <w:jc w:val="start"/>
        <w:bidi/>
      </w:pPr>
      <w:r>
        <w:rPr>
          <w:rFonts w:ascii="arial" w:hAnsi="arial" w:eastAsia="arial" w:cs="arial"/>
          <w:sz w:val="28"/>
          <w:szCs w:val="28"/>
          <w:b w:val="1"/>
          <w:bCs w:val="1"/>
          <w:rtl/>
        </w:rPr>
        <w:t xml:space="preserve">محمد ظافر المدني
</w:t>
      </w:r>
    </w:p>
    <w:p>
      <w:pPr/>
      <w:r>
        <w:rPr/>
        <w:t xml:space="preserve">محمد ظافر المدني  محمد (ظافر) بن محمد حسن بن حمزة ظافر الطرابلسي المغربي المدني: متصوف، من فقهاء المالكية. ولد في مسراته (بطرابلس الغرب) وسكن المدينة فنسب اليها، واستقر شيخا لزاوية الشاذلية بالاستانة، وتوفي بها. وكان وثيق الاتصال بسلطانها العثماني (عبد الحميد الثاني) يلقنه الذكر، ويعد من جملة عرشه ! له كتب، منها (الانوار القدسية -ط) في طرق القوم، و (الرحلة الظافرية) و (اقرب الوسائل في شرح منتخبات الرسائل للدرقاوي) في التصوف، و (النور الساطع والبرهان القاطع -ط) في الطريقة الشاذلية. </w:t>
      </w:r>
    </w:p>
    <w:p>
      <w:pPr>
        <w:jc w:val="start"/>
        <w:bidi/>
      </w:pPr>
      <w:r>
        <w:rPr>
          <w:sz w:val="24"/>
          <w:szCs w:val="24"/>
          <w:b w:val="1"/>
          <w:bCs w:val="1"/>
          <w:rtl/>
        </w:rPr>
        <w:t xml:space="preserve">
الأعلام،(دار العلم للملايين - بيروت،2002،ط 15،ج 7،ص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2026-08-19T13:00:40+03:00</dcterms:created>
  <dcterms:modified xsi:type="dcterms:W3CDTF">2026-08-19T13:00:40+03:00</dcterms:modified>
</cp:coreProperties>
</file>

<file path=docProps/custom.xml><?xml version="1.0" encoding="utf-8"?>
<Properties xmlns="http://schemas.openxmlformats.org/officeDocument/2006/custom-properties" xmlns:vt="http://schemas.openxmlformats.org/officeDocument/2006/docPropsVTypes"/>
</file>