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العباسي
</w:t>
      </w:r>
    </w:p>
    <w:p>
      <w:pPr>
        <w:jc w:val="start"/>
        <w:bidi/>
      </w:pPr>
      <w:r>
        <w:rPr>
          <w:rFonts w:ascii="arial" w:hAnsi="arial" w:eastAsia="arial" w:cs="arial"/>
          <w:sz w:val="28"/>
          <w:szCs w:val="28"/>
          <w:b w:val="1"/>
          <w:bCs w:val="1"/>
          <w:rtl/>
        </w:rPr>
        <w:t xml:space="preserve">المهدي العباسي
</w:t>
      </w:r>
    </w:p>
    <w:p>
      <w:pPr/>
      <w:r>
        <w:rPr/>
        <w:t xml:space="preserve">المهدي العباسي  محمد بن محمد امين بن محمد، المهدي العباسي: من اكابر فقهاء مصر في عصره. كان مفتي الديار المصرية، واول من تولى مشيخة الازهر من الحنفية. مولده بالاسكندرية. ووفاته في القاهرة. ولي الفتوى سنة 1264هـ ، واضيفت اليها مشيخة الازهر (سنة 1287) ثم كانت ثورة عرابي باشا، فعزل صاحب الترجمة من المشيخة لامتناعه عن التوقيع على عزل الخديوي توفيق. واعيدت اليه المشيخة بعد سكون الثورة. له (الفتاوي المهدية في الوقائع المصرية -ط) سبعة اجزاء. </w:t>
      </w:r>
    </w:p>
    <w:p>
      <w:pPr>
        <w:jc w:val="start"/>
        <w:bidi/>
      </w:pPr>
      <w:r>
        <w:rPr>
          <w:sz w:val="24"/>
          <w:szCs w:val="24"/>
          <w:b w:val="1"/>
          <w:bCs w:val="1"/>
          <w:rtl/>
        </w:rPr>
        <w:t xml:space="preserve">
الأعلام،(دار العلم للملايين - بيروت،2002،ط 15،ج 7،ص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2026-10-07T03:27:06+03:00</dcterms:created>
  <dcterms:modified xsi:type="dcterms:W3CDTF">2026-10-07T03:27:06+03:00</dcterms:modified>
</cp:coreProperties>
</file>

<file path=docProps/custom.xml><?xml version="1.0" encoding="utf-8"?>
<Properties xmlns="http://schemas.openxmlformats.org/officeDocument/2006/custom-properties" xmlns:vt="http://schemas.openxmlformats.org/officeDocument/2006/docPropsVTypes"/>
</file>