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ريسون
</w:t>
      </w:r>
    </w:p>
    <w:p>
      <w:pPr>
        <w:jc w:val="start"/>
        <w:bidi/>
      </w:pPr>
      <w:r>
        <w:rPr>
          <w:rFonts w:ascii="arial" w:hAnsi="arial" w:eastAsia="arial" w:cs="arial"/>
          <w:sz w:val="28"/>
          <w:szCs w:val="28"/>
          <w:b w:val="1"/>
          <w:bCs w:val="1"/>
          <w:rtl/>
        </w:rPr>
        <w:t xml:space="preserve">ابن ريسون
</w:t>
      </w:r>
    </w:p>
    <w:p>
      <w:pPr/>
      <w:r>
        <w:rPr/>
        <w:t xml:space="preserve">ابن ريسون  محمد بن محمد الصادق بن ريسون الحسنى العلمي: وزير فقيه نسابة من أهل (تازروت) بالمغرب انتقل منها إلى فاس وتصدر للتدريس والفتوى وتقدم عند السلاطين إلى أن استوزره المولى سليمان بن محمد بمراكش وكان قد حج سنة (1216) وأجازه كثير من العلماء وصنف في ذلك (فهرسة - خ) عن شيوخه، في خزانة الرباط (71 جلا) ختمها بذكر أسماء كتبه ثم بإجازة منه للمنصور أحمد الحسني بمراكش. ووضع كتابا في الانساب سماه (فتح العليم الخبير في تهذيب النسب العلمي بأمر الامير - خ) بقسم المخطوطات بتطوان (الرقم 856) ومنه نسخ أخرى. والامير الذى أشار إليه في تسمية الكتاب هو المولى محمد بن عبد الله العلوى. وتوفي ابن ريسون في وزان. </w:t>
      </w:r>
    </w:p>
    <w:p>
      <w:pPr>
        <w:jc w:val="start"/>
        <w:bidi/>
      </w:pPr>
      <w:r>
        <w:rPr>
          <w:sz w:val="24"/>
          <w:szCs w:val="24"/>
          <w:b w:val="1"/>
          <w:bCs w:val="1"/>
          <w:rtl/>
        </w:rPr>
        <w:t xml:space="preserve">
الأعلام،(دار العلم للملايين - بيروت،2002،ط 15،ج 7،ص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2026-10-07T02:27:54+03:00</dcterms:created>
  <dcterms:modified xsi:type="dcterms:W3CDTF">2026-10-07T02:27:54+03:00</dcterms:modified>
</cp:coreProperties>
</file>

<file path=docProps/custom.xml><?xml version="1.0" encoding="utf-8"?>
<Properties xmlns="http://schemas.openxmlformats.org/officeDocument/2006/custom-properties" xmlns:vt="http://schemas.openxmlformats.org/officeDocument/2006/docPropsVTypes"/>
</file>