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القاسم بن محمد بن يوسف بن محمد
</w:t>
      </w:r>
    </w:p>
    <w:p>
      <w:pPr>
        <w:jc w:val="start"/>
        <w:bidi/>
      </w:pPr>
      <w:r>
        <w:rPr>
          <w:rFonts w:ascii="arial" w:hAnsi="arial" w:eastAsia="arial" w:cs="arial"/>
          <w:sz w:val="28"/>
          <w:szCs w:val="28"/>
          <w:b w:val="1"/>
          <w:bCs w:val="1"/>
          <w:rtl/>
        </w:rPr>
        <w:t xml:space="preserve">فاطمة بنت القاسم بن محمد بن يوسف بن محمد
</w:t>
      </w:r>
    </w:p>
    <w:p>
      <w:pPr/>
      <w:r>
        <w:rPr/>
        <w:t xml:space="preserve">فاطمة بنت القاسم بن محمد بن يوسف بن محمد أم الحسن ابنة شيخنا الإمام علم الدين البرزالي.</w:t>
      </w:r>
    </w:p>
    <w:p/>
    <w:p>
      <w:pPr/>
      <w:r>
        <w:rPr/>
        <w:t xml:space="preserve">نقلت من خط شيخنا ولدها، رحمها الله تعالى، قال: أحضرتها سماع الحديث، ولها ثلاثة أيام، حضرت على ابن الموازيني، وفاطمة بنت سليمان، وابن مشرف، والمخرمي، وفاطمة بنت البطائحي، والفخر إسماعيل بن عساكر، وجماعة.</w:t>
      </w:r>
    </w:p>
    <w:p/>
    <w:p>
      <w:pPr/>
      <w:r>
        <w:rPr/>
        <w:t xml:space="preserve">وسمعت من القاضي بهاء الحنبلي، وإبراهيم بن النصير، وعيسى المطعم، وأبي بكر بن عبد الدايم والبهاء بن عساكر، وابن سعد، وجماعة من الشيوخ. وسمعت صحيح البخاري على ست الوزراء بنت ابن المنجا، وحفظت من الكتاب العزيز، وتعلمت الخط، وكتبت ربعة ظريفة، وكتاب ’’الأحكام’’ لابن تيمية، و’’صحيح البخاري’’، وكملته قبل موتها بأيام قليلة.</w:t>
      </w:r>
    </w:p>
    <w:p/>
    <w:p>
      <w:pPr/>
      <w:r>
        <w:rPr/>
        <w:t xml:space="preserve">قلت: ونسختها هذه بدمشق من النسخ التي يعتمد عليها، وينقل منها.</w:t>
      </w:r>
    </w:p>
    <w:p/>
    <w:p>
      <w:pPr/>
      <w:r>
        <w:rPr/>
        <w:t xml:space="preserve">قال: وكتبت غير ذلك، وحجت، وسمعت بطريق الحجاز، وحدثت بالحرمين الشريفين.</w:t>
      </w:r>
    </w:p>
    <w:p/>
    <w:p>
      <w:pPr/>
      <w:r>
        <w:rPr/>
        <w:t xml:space="preserve">وكانت امرأة مباركة محافظة على الفرائض والنوافل، لها اجتهاد وحرص على فعل الخير، تجتهد يوم دخول الحمام أن لا تؤخر الفريضة عن وقتها، لا تدخل حتى تصلي الظهر، وتجتهد في الخروج، لإدراك العصر، وكذلك تسارع في قضاء أيام الحيض من شهر رمضان تصومها وتعجلها وتحتاط فيها، وكانت فيها مودة، وخير وعقل ومعرفة وخير لم يفارقها قط. وتزوجت نحو خمس سنين، ولم تخرج من البيت، وما رأيت منها إلا ما يسرني، وكنت إذا رأيتها تصلي أفرح وأقول: أرجو الله أن ينفعني بها، فإنها كانت تصلي صلاة مكملة، وتجتهد في الدعاء، ولم تسألني قط شيئا من الدنيا، ولا شراء حاجة. وانتفعت بها في الدنيا وأرجو أن ينفعني الله بها في الآخرة.واعتبرت الشيوخ الذين سمعت منهم فوجدتهم مئة وخمس وثمانين نفسا.</w:t>
      </w:r>
    </w:p>
    <w:p/>
    <w:p>
      <w:pPr/>
      <w:r>
        <w:rPr/>
        <w:t xml:space="preserve">وتوفيت رحمها الله تعالى في يوم الاثنين حادي عشري صفر سنة إحدى وثلاثين وسبع مئة، ودفنت عند تربتهم خارج الباب الشرقي.</w:t>
      </w:r>
    </w:p>
    <w:p/>
    <w:p>
      <w:pPr/>
      <w:r>
        <w:rPr/>
        <w:t xml:space="preserve">ومولدها يوم الجمعة سادس عشر شهر ربيع الأول سنة سبع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2026-07-29T04:16:26+03:00</dcterms:created>
  <dcterms:modified xsi:type="dcterms:W3CDTF">2026-07-29T04:16:26+03:00</dcterms:modified>
</cp:coreProperties>
</file>

<file path=docProps/custom.xml><?xml version="1.0" encoding="utf-8"?>
<Properties xmlns="http://schemas.openxmlformats.org/officeDocument/2006/custom-properties" xmlns:vt="http://schemas.openxmlformats.org/officeDocument/2006/docPropsVTypes"/>
</file>