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المواهب
</w:t>
      </w:r>
    </w:p>
    <w:p>
      <w:pPr>
        <w:jc w:val="start"/>
        <w:bidi/>
      </w:pPr>
      <w:r>
        <w:rPr>
          <w:rFonts w:ascii="arial" w:hAnsi="arial" w:eastAsia="arial" w:cs="arial"/>
          <w:sz w:val="28"/>
          <w:szCs w:val="28"/>
          <w:b w:val="1"/>
          <w:bCs w:val="1"/>
          <w:rtl/>
        </w:rPr>
        <w:t xml:space="preserve">أبو المواهب
</w:t>
      </w:r>
    </w:p>
    <w:p>
      <w:pPr/>
      <w:r>
        <w:rPr/>
        <w:t xml:space="preserve">أبو المواهب  محمد (ابو المواهب) بن محمد بن محد ابن علي (ابي الحسن) البكري الصديقي المصري الشافعي: اديب، له شعر ونثر، من متصوفة آل البكري بمصر: قال المحبي: كان في بداية امره مائلا إلى الخلاعة وكانت مجاسه مشحونة بانواع الطرب والملاهي. وآلت اليه مشيخة المشايخ، بعد وفاة اخيه (ابي السرور) فظهر بمظهر اسلافه وتصدر للتدريس واملاء التفسير. وكانت بينه وبين علي الحلبي صاحب (السيرة الحلبية -ط) مودة، وباشارته صنفها. مولده ووفاته بالقاهرة. له (ديوان شعر) سماه (ترجمان العوارف وبستان المعارف -خ) اخرجه بعد كتابيه (0مبتدأ الخلاعة وانيس الجماعة) و (سلسال الذهب وعنوان الطرب). </w:t>
      </w:r>
    </w:p>
    <w:p>
      <w:pPr>
        <w:jc w:val="start"/>
        <w:bidi/>
      </w:pPr>
      <w:r>
        <w:rPr>
          <w:sz w:val="24"/>
          <w:szCs w:val="24"/>
          <w:b w:val="1"/>
          <w:bCs w:val="1"/>
          <w:rtl/>
        </w:rPr>
        <w:t xml:space="preserve">
الأعلام،(دار العلم للملايين - بيروت،2002،ط 15،ج 7،ص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2026-10-07T01:20:19+03:00</dcterms:created>
  <dcterms:modified xsi:type="dcterms:W3CDTF">2026-10-07T01:20:19+03:00</dcterms:modified>
</cp:coreProperties>
</file>

<file path=docProps/custom.xml><?xml version="1.0" encoding="utf-8"?>
<Properties xmlns="http://schemas.openxmlformats.org/officeDocument/2006/custom-properties" xmlns:vt="http://schemas.openxmlformats.org/officeDocument/2006/docPropsVTypes"/>
</file>