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حجازي الواعظ
</w:t>
      </w:r>
    </w:p>
    <w:p>
      <w:pPr>
        <w:jc w:val="start"/>
        <w:bidi/>
      </w:pPr>
      <w:r>
        <w:rPr>
          <w:rFonts w:ascii="arial" w:hAnsi="arial" w:eastAsia="arial" w:cs="arial"/>
          <w:sz w:val="28"/>
          <w:szCs w:val="28"/>
          <w:b w:val="1"/>
          <w:bCs w:val="1"/>
          <w:rtl/>
        </w:rPr>
        <w:t xml:space="preserve">حجازي الواعظ
</w:t>
      </w:r>
    </w:p>
    <w:p>
      <w:pPr/>
      <w:r>
        <w:rPr/>
        <w:t xml:space="preserve">حجازي الواعظ  محمد بن محمد بن عبد اله الاكراوي القلقشندي، المعروف بمحمد حجازي الواعظ: فقيه، عالم بالتفسير والحديث. ولد في منزلة اكري (من منازل الحاج المصري في توجهه إلى الحجاز) وسكن قلقشندة وتوفي في القاهرة. من كتبه (فتح المولى النصير بشرح الجامع الصغير) للسيوطي، اثنا عشر مجلدا، و (سواء الصراط) في اشراط الساعة، و (القول المشروح في النفس والروح) و (البرهان في اوقات السلطان). </w:t>
      </w:r>
    </w:p>
    <w:p>
      <w:pPr>
        <w:jc w:val="start"/>
        <w:bidi/>
      </w:pPr>
      <w:r>
        <w:rPr>
          <w:sz w:val="24"/>
          <w:szCs w:val="24"/>
          <w:b w:val="1"/>
          <w:bCs w:val="1"/>
          <w:rtl/>
        </w:rPr>
        <w:t xml:space="preserve">
الأعلام،(دار العلم للملايين - بيروت،2002،ط 15،ج 7،ص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2026-10-07T01:25:00+03:00</dcterms:created>
  <dcterms:modified xsi:type="dcterms:W3CDTF">2026-10-07T01:25:00+03:00</dcterms:modified>
</cp:coreProperties>
</file>

<file path=docProps/custom.xml><?xml version="1.0" encoding="utf-8"?>
<Properties xmlns="http://schemas.openxmlformats.org/officeDocument/2006/custom-properties" xmlns:vt="http://schemas.openxmlformats.org/officeDocument/2006/docPropsVTypes"/>
</file>