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سلطان
</w:t>
      </w:r>
    </w:p>
    <w:p>
      <w:pPr>
        <w:jc w:val="start"/>
        <w:bidi/>
      </w:pPr>
      <w:r>
        <w:rPr>
          <w:rFonts w:ascii="arial" w:hAnsi="arial" w:eastAsia="arial" w:cs="arial"/>
          <w:sz w:val="28"/>
          <w:szCs w:val="28"/>
          <w:b w:val="1"/>
          <w:bCs w:val="1"/>
          <w:rtl/>
        </w:rPr>
        <w:t xml:space="preserve">ابن سلطان
</w:t>
      </w:r>
    </w:p>
    <w:p>
      <w:pPr/>
      <w:r>
        <w:rPr/>
        <w:t xml:space="preserve">ابن سلطان  محمد بن محمد بن عمر بن سلطان الدمشقي الصالحي الحنفي، ابو عبد الله، قطب الدين: مؤرخ. كان مفتي الشا. وولي القضاء بمصر في زمن الغوري، نيابة عن شيخه ابن الشحنة. وكف بصره. وتوفي بدمشق. له كتب، منها (الجواهر المضية في احوال السلطان محمد سليم الفاتح للبلاد العربية -خ) و (فتح الملك العليم المنان على الملك المظفر سايمان -خ) وكتاب في (الفقه) وآخرها سماه (البرق اللامع في المنع من البركة في الجامع) ورسالة في (تحريم الافيون). </w:t>
      </w:r>
    </w:p>
    <w:p>
      <w:pPr>
        <w:jc w:val="start"/>
        <w:bidi/>
      </w:pPr>
      <w:r>
        <w:rPr>
          <w:sz w:val="24"/>
          <w:szCs w:val="24"/>
          <w:b w:val="1"/>
          <w:bCs w:val="1"/>
          <w:rtl/>
        </w:rPr>
        <w:t xml:space="preserve">
الأعلام،(دار العلم للملايين - بيروت،2002،ط 15،ج 7،ص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2026-10-07T00:25:51+03:00</dcterms:created>
  <dcterms:modified xsi:type="dcterms:W3CDTF">2026-10-07T00:25:51+03:00</dcterms:modified>
</cp:coreProperties>
</file>

<file path=docProps/custom.xml><?xml version="1.0" encoding="utf-8"?>
<Properties xmlns="http://schemas.openxmlformats.org/officeDocument/2006/custom-properties" xmlns:vt="http://schemas.openxmlformats.org/officeDocument/2006/docPropsVTypes"/>
</file>