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الغني بن محمد بن عبد الواحد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الغني بن محمد بن عبد الواحد
</w:t>
      </w:r>
    </w:p>
    <w:p>
      <w:pPr/>
      <w:r>
        <w:rPr/>
        <w:t xml:space="preserve">عبد الغني بن محمد بن عبد الواحد القاضي الفقيه تقي الدين بن الشيخ شمس الدين المقدسي.</w:t>
      </w:r>
    </w:p>
    <w:p/>
    <w:p>
      <w:pPr/>
      <w:r>
        <w:rPr/>
        <w:t xml:space="preserve">كان مدرسا بالمنصورية بالقاهرة، وعنده فضيلة، وهو متعين في مذهبه. </w:t>
      </w:r>
    </w:p>
    <w:p/>
    <w:p>
      <w:pPr/>
      <w:r>
        <w:rPr/>
        <w:t xml:space="preserve">توفي رحمه الله تعالى خامس جمادى الآخرة سنة عشر وسبع مئة، ودفن بالقرافة عند والده.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2026-07-28T12:54:21+03:00</dcterms:created>
  <dcterms:modified xsi:type="dcterms:W3CDTF">2026-07-28T12:54:21+03:00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