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العماد
</w:t>
      </w:r>
    </w:p>
    <w:p>
      <w:pPr>
        <w:jc w:val="start"/>
        <w:bidi/>
      </w:pPr>
      <w:r>
        <w:rPr>
          <w:rFonts w:ascii="arial" w:hAnsi="arial" w:eastAsia="arial" w:cs="arial"/>
          <w:sz w:val="28"/>
          <w:szCs w:val="28"/>
          <w:b w:val="1"/>
          <w:bCs w:val="1"/>
          <w:rtl/>
        </w:rPr>
        <w:t xml:space="preserve">ابن العماد
</w:t>
      </w:r>
    </w:p>
    <w:p>
      <w:pPr/>
      <w:r>
        <w:rPr/>
        <w:t xml:space="preserve">ابن العماد  محمد بن محمد بن علي البلبيسي ثم القاهري، شمس الدين المعروف بابن العماد، وهو لقب جده والده: فاضل، من الشافعية. ولد وتعلم في (0بلبيس) بمصر، وانتقل إلى القاهرة. وتكررت مجاورته بمكة، وجاور بالمدينة ايضا. وتكسب بالنساخة فكتب بخطه عدة كتب، قيد على بعضها (حواشي) نافعة، واختصر (تفسير البيضاوي) مع زيادات حسنة. وتوفي بالقاهرة. قلت: وفي خزانة السيد حسن حسني عبد الوهاب الصمادحي، بتونس، كتاب (كشف السرائر في معنى الوجوه والاشباه والنظائر -خ) لصاحب الترجمة، بخطه، يظهر انه لم يطلع عليه السخاوي ولا صاحب كشف الظنون، فلم يذكراه. </w:t>
      </w:r>
    </w:p>
    <w:p>
      <w:pPr>
        <w:jc w:val="start"/>
        <w:bidi/>
      </w:pPr>
      <w:r>
        <w:rPr>
          <w:sz w:val="24"/>
          <w:szCs w:val="24"/>
          <w:b w:val="1"/>
          <w:bCs w:val="1"/>
          <w:rtl/>
        </w:rPr>
        <w:t xml:space="preserve">
الأعلام،(دار العلم للملايين - بيروت،2002،ط 15،ج 7،ص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2026-10-07T00:26:22+03:00</dcterms:created>
  <dcterms:modified xsi:type="dcterms:W3CDTF">2026-10-07T00:26:22+03:00</dcterms:modified>
</cp:coreProperties>
</file>

<file path=docProps/custom.xml><?xml version="1.0" encoding="utf-8"?>
<Properties xmlns="http://schemas.openxmlformats.org/officeDocument/2006/custom-properties" xmlns:vt="http://schemas.openxmlformats.org/officeDocument/2006/docPropsVTypes"/>
</file>