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طلحة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طلحة بن محمد
</w:t>
      </w:r>
    </w:p>
    <w:p>
      <w:pPr/>
      <w:r>
        <w:rPr/>
        <w:t xml:space="preserve">طلحة بن محمد ابن علي بن وهب، الشيخ ولي الدين بن الشيخ تقي الدين بن دقيق العيد.</w:t>
      </w:r>
    </w:p>
    <w:p/>
    <w:p>
      <w:pPr/>
      <w:r>
        <w:rPr/>
        <w:t xml:space="preserve">توفي بالقاهرة سنة ست وتسعين وست مئة، وكان موته وموت ابن الصاحب فخر الدين في يوم واحد.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622)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2026-07-29T02:00:50+03:00</dcterms:created>
  <dcterms:modified xsi:type="dcterms:W3CDTF">2026-07-29T02:00:50+03:00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