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قطلوبغا
</w:t>
      </w:r>
    </w:p>
    <w:p>
      <w:pPr>
        <w:jc w:val="start"/>
        <w:bidi/>
      </w:pPr>
      <w:r>
        <w:rPr>
          <w:rFonts w:ascii="arial" w:hAnsi="arial" w:eastAsia="arial" w:cs="arial"/>
          <w:sz w:val="28"/>
          <w:szCs w:val="28"/>
          <w:b w:val="1"/>
          <w:bCs w:val="1"/>
          <w:rtl/>
        </w:rPr>
        <w:t xml:space="preserve">ابن قطلوبغا
</w:t>
      </w:r>
    </w:p>
    <w:p>
      <w:pPr/>
      <w:r>
        <w:rPr/>
        <w:t xml:space="preserve">ابن قطلوبغا  محمد بن محمد بن عمر بن قطلوبغا، سيف الدين البكتمري: عالم بفقه الحنفية، مصري، تركي الاصل، وصفه ابن الهمام بمحقق الديار المصرية. تولى تدريس الفقه والتفسير في عدة مدارس. وكتب (حواشي) متقنة على التوضيح لابن هشام، وعلى شرح البضاوي للاسنوي، وشرح التنقيح للقرافي، وشرح المنار، وغيره. </w:t>
      </w:r>
    </w:p>
    <w:p>
      <w:pPr>
        <w:jc w:val="start"/>
        <w:bidi/>
      </w:pPr>
      <w:r>
        <w:rPr>
          <w:sz w:val="24"/>
          <w:szCs w:val="24"/>
          <w:b w:val="1"/>
          <w:bCs w:val="1"/>
          <w:rtl/>
        </w:rPr>
        <w:t xml:space="preserve">
الأعلام،(دار العلم للملايين - بيروت،2002،ط 15،ج 7،ص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عمر بن قطلوبغا المصري ثم القاهري سيف الدين الحنفي
</w:t>
      </w:r>
    </w:p>
    <w:p>
      <w:pPr/>
      <w:r>
        <w:rPr/>
        <w:t xml:space="preserve">محمد بن محمد بن عمر بن قطلوبغا المصري ثم القاهري سيف الدين الحنفي </w:t>
      </w:r>
    </w:p>
    <w:p/>
    <w:p>
      <w:pPr/>
      <w:r>
        <w:rPr/>
        <w:t xml:space="preserve">ولد تقريباً سنة 798 ثمان وتسعين وسبعمائة ونشأ فحفظ جملة من المختصرات وأخذ عن ابن الهمام والسراج قاري الهداية وكان جل انتفاعه على ابن الهمام وكان يصفه بأنه محقق الديار المصرية واجتمع بالأذكاوي ودعا له بل حكى صاحب الضوء اللامع عن صاحب الترجمة أنه قال إنه رأى الأذكاوي المذكور في المنام والتمس منه الدعاء بنزع حب الدنيا فبادر إلى مدحه والثناء عليه بكلمات من جملتها أنت السيف الآمدي والسيف الأبهري فخجل من ذلك فقال الأذكاوي إذا أراد الله أمرا كان ثم بعد ذلك أكثر من العزلة والانجماع فقال له ابن الهمام والله لو دخلت مكانا وطينت عليه لظهرت ثم درس بمدارس واشتهر صيته وطار ذكره وكثرت تلامذته وصار إماما محققا في الفقه وأصوله والعربية التفسير وأصول الدين وصنف تصانيف.</w:t>
      </w:r>
    </w:p>
    <w:p/>
    <w:p>
      <w:pPr/>
      <w:r>
        <w:rPr/>
        <w:t xml:space="preserve">منها شرح التوضيح لابن هشام وشرح البيضاوي للأسنوي وشرح التنقيح للقرافي وشرح المنار والعقائد والطوالع شروحا بديعة محققة مفيدة وكان على طريقة السلف كثير العبادة والتهجد والتلاوة والأذكار وصار معظما مشارا إليه مكرما حتى إن سلطان مصر سلطان قايتباي أراد أن يقصده إلى محله فبلغه فبادر بالعزم إليه واستمر على حاله الجميل حتى مات في ليلة الاثنين الرابع والعشرين من ذي القعدة سنة 881 إحدى وثمانين وثمان مائة</w:t>
      </w:r>
    </w:p>
    <w:p>
      <w:pPr>
        <w:jc w:val="start"/>
        <w:bidi/>
      </w:pPr>
      <w:r>
        <w:rPr>
          <w:sz w:val="24"/>
          <w:szCs w:val="24"/>
          <w:b w:val="1"/>
          <w:bCs w:val="1"/>
          <w:rtl/>
        </w:rPr>
        <w:t xml:space="preserve">
البدر الطالع بمحاسن من بعد القرن السابع،(دار المعرفة - بيروت،0،ط 1،ج 2،ص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2026-10-06T23:19:34+03:00</dcterms:created>
  <dcterms:modified xsi:type="dcterms:W3CDTF">2026-10-06T23:19:34+03:00</dcterms:modified>
</cp:coreProperties>
</file>

<file path=docProps/custom.xml><?xml version="1.0" encoding="utf-8"?>
<Properties xmlns="http://schemas.openxmlformats.org/officeDocument/2006/custom-properties" xmlns:vt="http://schemas.openxmlformats.org/officeDocument/2006/docPropsVTypes"/>
</file>