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الأمير علم الدين
</w:t>
      </w:r>
    </w:p>
    <w:p>
      <w:pPr>
        <w:jc w:val="start"/>
        <w:bidi/>
      </w:pPr>
      <w:r>
        <w:rPr>
          <w:rFonts w:ascii="arial" w:hAnsi="arial" w:eastAsia="arial" w:cs="arial"/>
          <w:sz w:val="28"/>
          <w:szCs w:val="28"/>
          <w:b w:val="1"/>
          <w:bCs w:val="1"/>
          <w:rtl/>
        </w:rPr>
        <w:t xml:space="preserve">سنجر الأمير علم الدين
</w:t>
      </w:r>
    </w:p>
    <w:p>
      <w:pPr/>
      <w:r>
        <w:rPr/>
        <w:t xml:space="preserve">سنجر الأمير علم الدين نائب قلعة دمشق المعروف بأرجواش، بهمزة مفتوحة وراء ساكنة وجيم مضمومة أو مفتوحة وواء بعدها ألف وشين معجمة.</w:t>
      </w:r>
    </w:p>
    <w:p/>
    <w:p>
      <w:pPr/>
      <w:r>
        <w:rPr/>
        <w:t xml:space="preserve">له مآنة على أهل دمشق لا بل على أهل الشام، ونعمة لا ينكرها إلا من انتجع برق المكابرة أو شام، فإنه ضبط القلعة في أيام غازان، وأخذ بما صان أمرها وزان، وتثبت في عدم تسليمها، ومد أظافير المناوشة لهم ولم يخش من تقليمها، وصبر على المحاصرة، ولم يجنح إلى المكاشرة والمكاسرة، وأقام قياما يشكره الله له يوم القيامه، وحقن دماء المسلمين بما عنده من العزيمة القوية والصرامه. وقيل: إن ذلك كان بمعاونة قبجق له في الباطن، وملاحظته لذلك في الحال الساكن. وأيا ما كان فله فيه الفضل الأوفى، والثناء المستوفى.</w:t>
      </w:r>
    </w:p>
    <w:p/>
    <w:p>
      <w:pPr/>
      <w:r>
        <w:rPr/>
        <w:t xml:space="preserve">ولم يزل على حاله إلى أن أسلمه حصنه للمنايا، وتحكمت فيه يد الرزايا.</w:t>
      </w:r>
    </w:p>
    <w:p/>
    <w:p>
      <w:pPr/>
      <w:r>
        <w:rPr/>
        <w:t xml:space="preserve">توفي - رحمه الله تعالى - ليلة السبت ثاني عشري الحجة سنة إحدى وسبع مئة، وحضر جنازته نائب السلطنة والأمراء والأعيان. ودفن في جبل قاسيون.</w:t>
      </w:r>
    </w:p>
    <w:p/>
    <w:p>
      <w:pPr/>
      <w:r>
        <w:rPr/>
        <w:t xml:space="preserve">كان نائب القلعة في أيام أستاذه الملك المنصور، ولم يخرج مدة ولايته من القلعة، ولا سير. وقيده الأشرف وألبسه عباءة ليقتله، ثم عفا عنه وخلع عليه، وذلك في سنة تسعين وست مئة، وأعاده إلى النيابة، وكان ذلك بعد عود الأشرف من عكا.</w:t>
      </w:r>
    </w:p>
    <w:p/>
    <w:p>
      <w:pPr/>
      <w:r>
        <w:rPr/>
        <w:t xml:space="preserve">ولما اعتمد ما اعتمده في أمر القلعة أيام غازان عظم في النفوس، وكان التتار قد طلعوا فوق سطوح دار السعادة، وتسلطوا على القلعة ورموها بالنشاب، فرمى عليهم قوارير النفط، فاحترقت الأخشاب، وسقطت بهم السقوف بهم السقوف في النار، وفعل ذلك بالعادلية ودار الحديث الأشرفية.</w:t>
      </w:r>
    </w:p>
    <w:p/>
    <w:p>
      <w:pPr/>
      <w:r>
        <w:rPr/>
        <w:t xml:space="preserve">وكان عبد الغني بن عروة الفقير يحكي عنه حكايات تدل على سلامة الباطن، وقد أوردت منها جانبا في ترجمة عبد الغني المذكور في حرف العين مكانه.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2026-07-28T03:54:12+03:00</dcterms:created>
  <dcterms:modified xsi:type="dcterms:W3CDTF">2026-07-28T03:54:12+03:00</dcterms:modified>
</cp:coreProperties>
</file>

<file path=docProps/custom.xml><?xml version="1.0" encoding="utf-8"?>
<Properties xmlns="http://schemas.openxmlformats.org/officeDocument/2006/custom-properties" xmlns:vt="http://schemas.openxmlformats.org/officeDocument/2006/docPropsVTypes"/>
</file>