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مروان بن داود
</w:t>
      </w:r>
    </w:p>
    <w:p>
      <w:pPr>
        <w:jc w:val="start"/>
        <w:bidi/>
      </w:pPr>
      <w:r>
        <w:rPr>
          <w:rFonts w:ascii="arial" w:hAnsi="arial" w:eastAsia="arial" w:cs="arial"/>
          <w:sz w:val="28"/>
          <w:szCs w:val="28"/>
          <w:b w:val="1"/>
          <w:bCs w:val="1"/>
          <w:rtl/>
        </w:rPr>
        <w:t xml:space="preserve">داود بن مروان بن داود
</w:t>
      </w:r>
    </w:p>
    <w:p>
      <w:pPr/>
      <w:r>
        <w:rPr/>
        <w:t xml:space="preserve">داود بن مروان بن داود الفقيه الإمام القاضي نجم الدين أبو سليمان الملطي الحنفي.</w:t>
      </w:r>
    </w:p>
    <w:p/>
    <w:p>
      <w:pPr/>
      <w:r>
        <w:rPr/>
        <w:t xml:space="preserve">كان شيخا كبيرا من أعيان الحنفية، درس بعدة مدارس، وتولى قضاء العسكر. وكان يقدم إلى دمشق، ويحكم فيها نيابة عن قاضي القضاة حسام الدين أيام إقامته.</w:t>
      </w:r>
    </w:p>
    <w:p/>
    <w:p>
      <w:pPr/>
      <w:r>
        <w:rPr/>
        <w:t xml:space="preserve">وكان فيه مروءة وتعصب.</w:t>
      </w:r>
    </w:p>
    <w:p/>
    <w:p>
      <w:pPr/>
      <w:r>
        <w:rPr/>
        <w:t xml:space="preserve">توفي رحمه الله تعالى ثالث شهر ربيع الأول سنة سبع عشرة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مروان بن داود الملطي الحنفي نجم الدين
</w:t>
      </w:r>
    </w:p>
    <w:p>
      <w:pPr/>
      <w:r>
        <w:rPr/>
        <w:t xml:space="preserve">داود بن مروان بن داود الملطي الحنفي نجم الدين داود بن مروان بن داود الملطي الحنفي نجم الدين ناب في الحكم عن الحسام الرازي ودرس بعدة أماكن وولي قضاء العسكر وكان ذا مروءة وعصبية ومعرفة بالمذهب مات في ثالث ربيع الأول سنة 717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مروان بن داود الملطي الفقيه العلامة، نجم الدين
</w:t>
      </w:r>
    </w:p>
    <w:p>
      <w:pPr/>
      <w:r>
        <w:rPr/>
        <w:t xml:space="preserve">داود بن مروان بن داود الملطي الفقيه العلامة، نجم الدين ناب في الحكم على الحسام الرازي، ودرس بعدة أماكن.</w:t>
      </w:r>
    </w:p>
    <w:p/>
    <w:p>
      <w:pPr/>
      <w:r>
        <w:rPr/>
        <w:t xml:space="preserve">وولى قضاء العسكر.</w:t>
      </w:r>
    </w:p>
    <w:p/>
    <w:p>
      <w:pPr/>
      <w:r>
        <w:rPr/>
        <w:t xml:space="preserve">وكان ذا مروءة وعصبية، ومعرفة بالمذهب.</w:t>
      </w:r>
    </w:p>
    <w:p/>
    <w:p>
      <w:pPr/>
      <w:r>
        <w:rPr/>
        <w:t xml:space="preserve">مات في ثالث شهر ربيع الأول، سنة سبع عشرة وسبعمائة. ودفن بالقرافة.</w:t>
      </w:r>
    </w:p>
    <w:p/>
    <w:p>
      <w:pPr/>
      <w:r>
        <w:rPr/>
        <w:t xml:space="preserve">وهو والد صدر الدين سليمان الآتي في بابه، إن شاء الله تعالى.</w:t>
      </w:r>
    </w:p>
    <w:p>
      <w:pPr>
        <w:jc w:val="start"/>
        <w:bidi/>
      </w:pPr>
      <w:r>
        <w:rPr>
          <w:sz w:val="24"/>
          <w:szCs w:val="24"/>
          <w:b w:val="1"/>
          <w:bCs w:val="1"/>
          <w:rtl/>
        </w:rPr>
        <w:t xml:space="preserve">
الطبقات السنية في تراجم الحنفية،(دار الرفاعي - الرياض،1983،ط 0،ج 1،ص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2026-07-29T05:14:32+03:00</dcterms:created>
  <dcterms:modified xsi:type="dcterms:W3CDTF">2026-07-29T05:14:32+03:00</dcterms:modified>
</cp:coreProperties>
</file>

<file path=docProps/custom.xml><?xml version="1.0" encoding="utf-8"?>
<Properties xmlns="http://schemas.openxmlformats.org/officeDocument/2006/custom-properties" xmlns:vt="http://schemas.openxmlformats.org/officeDocument/2006/docPropsVTypes"/>
</file>