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الخشاب
</w:t>
      </w:r>
    </w:p>
    <w:p>
      <w:pPr>
        <w:jc w:val="start"/>
        <w:bidi/>
      </w:pPr>
      <w:r>
        <w:rPr>
          <w:rFonts w:ascii="arial" w:hAnsi="arial" w:eastAsia="arial" w:cs="arial"/>
          <w:sz w:val="28"/>
          <w:szCs w:val="28"/>
          <w:b w:val="1"/>
          <w:bCs w:val="1"/>
          <w:rtl/>
        </w:rPr>
        <w:t xml:space="preserve">ابن الخشاب
</w:t>
      </w:r>
    </w:p>
    <w:p>
      <w:pPr/>
      <w:r>
        <w:rPr/>
        <w:t xml:space="preserve">ابن الخشاب  محمد بن محمد بن يوسف بن محمد الانصاري الغرناطي، أبو القاسم، ابن الخشاب: من شيوخ العلم في غرناطة. أجازه بالكتابة أعلام من المشارقة، كالحافظ المزي (يوسف بن عبد الرحمن) والبرزالي (القاسم بن محمد) وأبي حيان. (محمد بن حيان) وبلغ عدد شيوخه باللقاء والاجازة قرابة 400 شيخ، صنف فيهم (معجما) كبيرا في نحو 20 جزءا قال الكتاني: نرويه. فلعله ما زال مخطوطا. وقال السراج: كتب لي بالاجازة العامة من غرناطة المحروسة، مرتين، احداهما في ذي القعدة عام 766 والاخرى عام اثنين (وسبعين) وسبعمائة. </w:t>
      </w:r>
    </w:p>
    <w:p>
      <w:pPr>
        <w:jc w:val="start"/>
        <w:bidi/>
      </w:pPr>
      <w:r>
        <w:rPr>
          <w:sz w:val="24"/>
          <w:szCs w:val="24"/>
          <w:b w:val="1"/>
          <w:bCs w:val="1"/>
          <w:rtl/>
        </w:rPr>
        <w:t xml:space="preserve">
الأعلام،(دار العلم للملايين - بيروت،2002،ط 15،ج 7،ص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2026-10-06T22:17:57+03:00</dcterms:created>
  <dcterms:modified xsi:type="dcterms:W3CDTF">2026-10-06T22:17:57+03:00</dcterms:modified>
</cp:coreProperties>
</file>

<file path=docProps/custom.xml><?xml version="1.0" encoding="utf-8"?>
<Properties xmlns="http://schemas.openxmlformats.org/officeDocument/2006/custom-properties" xmlns:vt="http://schemas.openxmlformats.org/officeDocument/2006/docPropsVTypes"/>
</file>