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القطب التحتاني
</w:t>
      </w:r>
    </w:p>
    <w:p>
      <w:pPr>
        <w:jc w:val="start"/>
        <w:bidi/>
      </w:pPr>
      <w:r>
        <w:rPr>
          <w:rFonts w:ascii="arial" w:hAnsi="arial" w:eastAsia="arial" w:cs="arial"/>
          <w:sz w:val="28"/>
          <w:szCs w:val="28"/>
          <w:b w:val="1"/>
          <w:bCs w:val="1"/>
          <w:rtl/>
        </w:rPr>
        <w:t xml:space="preserve">القطب التحتاني
</w:t>
      </w:r>
    </w:p>
    <w:p>
      <w:pPr/>
      <w:r>
        <w:rPr/>
        <w:t xml:space="preserve">القطب التحتاني  محمد (ابو محمود) بن محمد الرازي ابو عبد الله، قطب الدين: علم بالحكمة والمنطق. من أهل الري. استقر في دمشق سنة 763 وعلت شهرته وعرف بالتحتاني تمييزا له عن شخص آخر ينى قطب الدين ايضا (كان يسكن معه في اعلى المدرسة الظاهرية بدمشق) وتوفي بها. من كتبه (المحاكمات -خ) في المنطق، و (تحرير القواعد المنطقية في شرح مطالع الانوار -ط) في المنطق، ورسالة في (الكليات وتحقيقها -خ) و (تحقيق معنى التصور والتصديق -ط) ورسالة في (النفس الناطقة -خ) وكتاب (المحاكمات بين الامام والنصير -ط) حكم فيه بين الفخر الرازي والنصير الطوسي، في شرحيهما لاشارات ابن سينا، و (شرح الحاوي) في فروع الشافعية، لم يكمله، و (حاشية) على الكشاف، وصل فيها إلى سورة طه. </w:t>
      </w:r>
    </w:p>
    <w:p>
      <w:pPr>
        <w:jc w:val="start"/>
        <w:bidi/>
      </w:pPr>
      <w:r>
        <w:rPr>
          <w:sz w:val="24"/>
          <w:szCs w:val="24"/>
          <w:b w:val="1"/>
          <w:bCs w:val="1"/>
          <w:rtl/>
        </w:rPr>
        <w:t xml:space="preserve">
الأعلام،(دار العلم للملايين - بيروت،2002،ط 15،ج 7،ص 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2026-07-29T02:42:01+03:00</dcterms:created>
  <dcterms:modified xsi:type="dcterms:W3CDTF">2026-07-29T02:42:01+03:00</dcterms:modified>
</cp:coreProperties>
</file>

<file path=docProps/custom.xml><?xml version="1.0" encoding="utf-8"?>
<Properties xmlns="http://schemas.openxmlformats.org/officeDocument/2006/custom-properties" xmlns:vt="http://schemas.openxmlformats.org/officeDocument/2006/docPropsVTypes"/>
</file>