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إبراهيم
</w:t>
      </w:r>
    </w:p>
    <w:p>
      <w:pPr>
        <w:jc w:val="start"/>
        <w:bidi/>
      </w:pPr>
      <w:r>
        <w:rPr>
          <w:rFonts w:ascii="arial" w:hAnsi="arial" w:eastAsia="arial" w:cs="arial"/>
          <w:sz w:val="28"/>
          <w:szCs w:val="28"/>
          <w:b w:val="1"/>
          <w:bCs w:val="1"/>
          <w:rtl/>
        </w:rPr>
        <w:t xml:space="preserve">أبو بكر بن محمد بن إبراهيم
</w:t>
      </w:r>
    </w:p>
    <w:p>
      <w:pPr/>
      <w:r>
        <w:rPr/>
        <w:t xml:space="preserve">أبو بكر بن محمد بن إبراهيم ابن أبي بكر بن خلطان: الشيخ القاضي نجم الدين بن القاضي بهاء الدين.</w:t>
      </w:r>
    </w:p>
    <w:p/>
    <w:p>
      <w:pPr/>
      <w:r>
        <w:rPr/>
        <w:t xml:space="preserve">سمع المقامات من ابن أبي اليسر، وكتب عنه من شعره، وحدث بالإجازة عن سبط السلفي.</w:t>
      </w:r>
    </w:p>
    <w:p/>
    <w:p>
      <w:pPr/>
      <w:r>
        <w:rPr/>
        <w:t xml:space="preserve">كان فقيها يعرف الفرائض، ويجيد ما في مسائلها من الغوامض، وتولى ببعض البلاد الشامية والنواحي التي يغلب على أهلها العامية، إلا أنه كان في عقله اضطراب، بل في عقيدته الباطلة، ورمي بأشياء ما نجا معها من السيف إلا لما لأجله من المدافعة والمماطلة. وكان يعتقد أنه يكون له دوله، وأن تسل السيوف إذا مشى حوله.</w:t>
      </w:r>
    </w:p>
    <w:p/>
    <w:p>
      <w:pPr/>
      <w:r>
        <w:rPr/>
        <w:t xml:space="preserve">ولم يزل على ذلك إلى أن مات بغصته، ولم يحصل له من الملك بعض حصته.</w:t>
      </w:r>
    </w:p>
    <w:p/>
    <w:p>
      <w:pPr/>
      <w:r>
        <w:rPr/>
        <w:t xml:space="preserve">وتوفي رحمه الله تعالى في ثالث ذي القعدة سنة خمس وعشرين وسبع مئة. وقد قارب الثمانين، وكان بالمدرسة الناصرية بالقاهرة.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إبراهيم بن أبي بكر بن خلكان
</w:t>
      </w:r>
    </w:p>
    <w:p>
      <w:pPr/>
      <w:r>
        <w:rPr/>
        <w:t xml:space="preserve">أبو بكر بن محمد بن إبراهيم بن أبي بكر بن خلكان أبو بكر بن محمد بن إبراهيم بن أبي بكر بن خلكان نجم الدين بن بهاء الدين ابن أخي القاضي شمس الدين ولد سنة بضع وأربعين وأجاز له سبط السلفي وتعانى الفرائض فمهر فيها وولي القضاء ببعض البلاد الشامية ثم رمى بالانحلال والزندقة وكان مقيما بالناصرية كان خفيف العقل يصرح بأنه سيلي المملكة وتكون له دولة ولما كان في سنة 704 عقد له مجلس بدمشق وادعي عليه أنه يقول خليفة الزمان وأنه يوحى عليه وانفصل الأمر على أنه تاب واعتذروا عنه بأن الحامل له على ذلك السوداء فربما ثارت عليه فتكلم بالهذيان قال الجزري في تاريخه وهو باق على دعواه وكان يعمل الأوقاف والطلسمات إلى أن مات في ذي القعدة سنة 725 وقد شاخ</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2026-07-28T23:42:20+03:00</dcterms:created>
  <dcterms:modified xsi:type="dcterms:W3CDTF">2026-07-28T23:42:20+03:00</dcterms:modified>
</cp:coreProperties>
</file>

<file path=docProps/custom.xml><?xml version="1.0" encoding="utf-8"?>
<Properties xmlns="http://schemas.openxmlformats.org/officeDocument/2006/custom-properties" xmlns:vt="http://schemas.openxmlformats.org/officeDocument/2006/docPropsVTypes"/>
</file>