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حنا
</w:t>
      </w:r>
    </w:p>
    <w:p>
      <w:pPr>
        <w:jc w:val="start"/>
        <w:bidi/>
      </w:pPr>
      <w:r>
        <w:rPr>
          <w:rFonts w:ascii="arial" w:hAnsi="arial" w:eastAsia="arial" w:cs="arial"/>
          <w:sz w:val="28"/>
          <w:szCs w:val="28"/>
          <w:b w:val="1"/>
          <w:bCs w:val="1"/>
          <w:rtl/>
        </w:rPr>
        <w:t xml:space="preserve">تاج الدين ابن حنا
</w:t>
      </w:r>
    </w:p>
    <w:p>
      <w:pPr/>
      <w:r>
        <w:rPr/>
        <w:t xml:space="preserve">تاج الدين ابن حنا  محمد بن محمد بن علي بن محمد بن سليم، ابو عبد اله، تاج الدين، ويلقب الصاحب كأبيه فخر الدين ابن الوزير بهاء الدين: وجيه مصري. كان يتعاطى الفروسية ويحضر الغزوات، وانتعت اليه رياسة عصره في بلده. نشأ في بيت مجد، واشتغل بالحديث والادب، ونظم الشعر والتوشيح، وحدث بمصر ودمشق. وهو الذي اشترى الآثار النبوية - على ما قيل - وجعلها في مكانه (بالمعشوق) المنسوب اليه بمصر. وكانت رياسته فوق الوزراء، حتى ان احدهم (الصاحب فخر الدين ابن الخليلي) لما ولي الوزارة جاءه وقبل يده فاكرمه، فكان ذلك (بمنزلة الاجازة والامضاء لوزارته) واستوفي الصفدي كثيرا من اخباره مع شعراء عصرة وغيرهم. </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بن حنا
</w:t>
      </w:r>
    </w:p>
    <w:p>
      <w:pPr/>
      <w:r>
        <w:rPr/>
        <w:t xml:space="preserve">تاج الدين بن حنا  محمد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2026-07-29T09:33:36+03:00</dcterms:created>
  <dcterms:modified xsi:type="dcterms:W3CDTF">2026-07-29T09:33:36+03:00</dcterms:modified>
</cp:coreProperties>
</file>

<file path=docProps/custom.xml><?xml version="1.0" encoding="utf-8"?>
<Properties xmlns="http://schemas.openxmlformats.org/officeDocument/2006/custom-properties" xmlns:vt="http://schemas.openxmlformats.org/officeDocument/2006/docPropsVTypes"/>
</file>