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(الملك الكامل) ابن محمد (العادل) ابن ايوب، ابو المعالي، ناصر الدين: من سلاطين الدولة الايوبية. ان عارفا بالادب، له شعر، وسمع الحيث ورواه. ولد بمصر واعطاه ابوه الديار المصرية، فتولاها مستقبلا بعد وفاته (سنة 615) وحسنت سياسته فيها. واتجه إلى توسيع نطاق ملكه، فاستولى على حران ولرها وسروج والرقة وآمد وحصن كيفا، ثم امتلك الديار الشامية، ودخل ابنه (الملك المسعود) مكة سنة 620 فكانت الخطبة فيها باسم الكامل، ودعي له بلقب (مالك مكة وعبيدها، واليمن وبيدها، ومصر وصعيدها، والشام وصناديدها، والجزيرة ووليدها الخ) واستمر اربعين سنة، نصفها في ايام والده. وتوفي بدمشق، ودفن بقلعتها. وله مواقف مشهورة مشهوة في الجهاد بدمياط. </w:t>
      </w:r>
    </w:p>
    <w:p/>
    <w:p>
      <w:pPr/>
      <w:r>
        <w:rPr/>
        <w:t xml:space="preserve">وكان حازما عفيفا عن الدماء، مهيبا، يباشر امور الملك بنفسه. كما يقول المقريزي. وقال الصفدي: كان فيه جبرت. ولما مات لم يحزن عليه الناس. من آثاره بمصر المدرسسة (الكاملية). </w:t>
      </w:r>
    </w:p>
    <w:p>
      <w:pPr>
        <w:jc w:val="start"/>
        <w:bidi/>
      </w:pPr>
      <w:r>
        <w:rPr>
          <w:sz w:val="24"/>
          <w:szCs w:val="24"/>
          <w:b w:val="1"/>
          <w:bCs w:val="1"/>
          <w:rtl/>
        </w:rPr>
        <w:t xml:space="preserve">
الأعلام،(دار العلم للملايين - بيروت،2002،ط 15،ج 7،ص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2026-10-05T18:24:55+03:00</dcterms:created>
  <dcterms:modified xsi:type="dcterms:W3CDTF">2026-10-05T18:24:55+03:00</dcterms:modified>
</cp:coreProperties>
</file>

<file path=docProps/custom.xml><?xml version="1.0" encoding="utf-8"?>
<Properties xmlns="http://schemas.openxmlformats.org/officeDocument/2006/custom-properties" xmlns:vt="http://schemas.openxmlformats.org/officeDocument/2006/docPropsVTypes"/>
</file>