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الأزرق مملوك العادل كتبغا
</w:t>
      </w:r>
    </w:p>
    <w:p>
      <w:pPr>
        <w:jc w:val="start"/>
        <w:bidi/>
      </w:pPr>
      <w:r>
        <w:rPr>
          <w:rFonts w:ascii="arial" w:hAnsi="arial" w:eastAsia="arial" w:cs="arial"/>
          <w:sz w:val="28"/>
          <w:szCs w:val="28"/>
          <w:b w:val="1"/>
          <w:bCs w:val="1"/>
          <w:rtl/>
        </w:rPr>
        <w:t xml:space="preserve">الأزرق مملوك العادل كتبغا
</w:t>
      </w:r>
    </w:p>
    <w:p>
      <w:pPr/>
      <w:r>
        <w:rPr/>
        <w:t xml:space="preserve">الأزرق مملوك العادل كتبغا اسمه بكتوت. </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بكتوت
</w:t>
      </w:r>
    </w:p>
    <w:p>
      <w:pPr/>
      <w:r>
        <w:rPr/>
        <w:t xml:space="preserve">بكتوت الأمير بدر الدين الأزرق مملوك السلطان الملك العادل كتبغا.</w:t>
      </w:r>
    </w:p>
    <w:p/>
    <w:p>
      <w:pPr/>
      <w:r>
        <w:rPr/>
        <w:t xml:space="preserve">أمسكه حسام الدين لاجين وقتله، وقتل خواشداشه بتخاص.</w:t>
      </w:r>
    </w:p>
    <w:p/>
    <w:p>
      <w:pPr/>
      <w:r>
        <w:rPr/>
        <w:t xml:space="preserve">وكان الخلف قد وقع على اللجون في مرج بني عامر، ولما بلغ ذلك الملك العادل خرج من الدهليز ولم يفطن به، وتوجه إلى جهة دمشق وساق حسام الدين لاجين للخزانة، والعساكر بين يديه، وذلك يوم الاثنين، ثامن عشري المحرم، سنة ست وتسعين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716)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2026-07-28T22:47:22+03:00</dcterms:created>
  <dcterms:modified xsi:type="dcterms:W3CDTF">2026-07-28T22:47:22+03:00</dcterms:modified>
</cp:coreProperties>
</file>

<file path=docProps/custom.xml><?xml version="1.0" encoding="utf-8"?>
<Properties xmlns="http://schemas.openxmlformats.org/officeDocument/2006/custom-properties" xmlns:vt="http://schemas.openxmlformats.org/officeDocument/2006/docPropsVTypes"/>
</file>