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الفراش
</w:t>
      </w:r>
    </w:p>
    <w:p>
      <w:pPr>
        <w:jc w:val="start"/>
        <w:bidi/>
      </w:pPr>
      <w:r>
        <w:rPr>
          <w:rFonts w:ascii="arial" w:hAnsi="arial" w:eastAsia="arial" w:cs="arial"/>
          <w:sz w:val="28"/>
          <w:szCs w:val="28"/>
          <w:b w:val="1"/>
          <w:bCs w:val="1"/>
          <w:rtl/>
        </w:rPr>
        <w:t xml:space="preserve">ابن الفراش
</w:t>
      </w:r>
    </w:p>
    <w:p>
      <w:pPr/>
      <w:r>
        <w:rPr/>
        <w:t xml:space="preserve">ابن الفراش محمد بن محمد بن موسى، أبو عبد الله، شمس الدين، المعروف بابن الفراش: شاعر مجيد، من القضاة، من أعيان الدولتين النورية والصلاحية. من أهل دمشق. ولي بها قضاء العسكر في آخر عهد نور الدين (محمود بن زنكي) إلى أن توفي (سنة 569) وولاه صلاح الدين أمانة خزانته وقضاء عسكره وخاصته. وسكن القاهرة. وكان يوجه في السفارات إلى الملوك. وأرسل إلى اولاد السلطان قليج أرسلان، لإصلاح ذات البين بينهم وبين السلطان صلاح الدين، وكانوا في بلاد الروم، فقام بما انتدب له، وأدركته الوفاة وهو عائد؛ في (ملطية). وكانت بينه وبين (عماد الدين الكتب) صداقة أشبه بالإخاء، وصفها العماد في الخريدة، وأورد مختارات من شعره في 17 صفحة.</w:t>
      </w:r>
    </w:p>
    <w:p>
      <w:pPr>
        <w:jc w:val="start"/>
        <w:bidi/>
      </w:pPr>
      <w:r>
        <w:rPr>
          <w:sz w:val="24"/>
          <w:szCs w:val="24"/>
          <w:b w:val="1"/>
          <w:bCs w:val="1"/>
          <w:rtl/>
        </w:rPr>
        <w:t xml:space="preserve">
الأعلام،(دار العلم للملايين - بيروت،2002،ط 15،ج 7،ص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2026-10-05T18:24:22+03:00</dcterms:created>
  <dcterms:modified xsi:type="dcterms:W3CDTF">2026-10-05T18:24:22+03:00</dcterms:modified>
</cp:coreProperties>
</file>

<file path=docProps/custom.xml><?xml version="1.0" encoding="utf-8"?>
<Properties xmlns="http://schemas.openxmlformats.org/officeDocument/2006/custom-properties" xmlns:vt="http://schemas.openxmlformats.org/officeDocument/2006/docPropsVTypes"/>
</file>