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عبد الله
</w:t>
      </w:r>
    </w:p>
    <w:p>
      <w:pPr>
        <w:jc w:val="start"/>
        <w:bidi/>
      </w:pPr>
      <w:r>
        <w:rPr>
          <w:rFonts w:ascii="arial" w:hAnsi="arial" w:eastAsia="arial" w:cs="arial"/>
          <w:sz w:val="28"/>
          <w:szCs w:val="28"/>
          <w:b w:val="1"/>
          <w:bCs w:val="1"/>
          <w:rtl/>
        </w:rPr>
        <w:t xml:space="preserve">أحمد بن عمر بن عبد الله
</w:t>
      </w:r>
    </w:p>
    <w:p>
      <w:pPr/>
      <w:r>
        <w:rPr/>
        <w:t xml:space="preserve">أحمد بن عمر بن عبد الله قاضي القضاة تقي الدين ابن قاضي القضاة بالديار المصرية، وكان وجهه جميلا ومجده أثيلا، بياض شيبه على خده كأنه الياسمين على ورده، له مروة زائدة، وكف بالنوال جائدة، وكان معه أيضا نظر الخزانة الكبرى، وهو بالطلوع إلى القلعة مغزى.</w:t>
      </w:r>
    </w:p>
    <w:p/>
    <w:p>
      <w:pPr/>
      <w:r>
        <w:rPr/>
        <w:t xml:space="preserve">وما زال قاضيا إلى أن عزل السلطان محمد بن قلاوون القضاة الثلاثة دون المالكي. فلزم بيته إلى أن تعذرت وقاية التقي من الممات ودخل في باب مضى وقضى وفات، وتوفي رحمه الله تعالى سنة..........</w:t>
      </w:r>
    </w:p>
    <w:p/>
    <w:p>
      <w:pPr/>
      <w:r>
        <w:rPr/>
        <w:t xml:space="preserve">وأجاز لي بخطه سنة ثمان وعشرين وسبع مئة بمصر.</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2026-07-28T23:42:09+03:00</dcterms:created>
  <dcterms:modified xsi:type="dcterms:W3CDTF">2026-07-28T23:42:09+03:00</dcterms:modified>
</cp:coreProperties>
</file>

<file path=docProps/custom.xml><?xml version="1.0" encoding="utf-8"?>
<Properties xmlns="http://schemas.openxmlformats.org/officeDocument/2006/custom-properties" xmlns:vt="http://schemas.openxmlformats.org/officeDocument/2006/docPropsVTypes"/>
</file>