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الفلنقي
</w:t>
      </w:r>
    </w:p>
    <w:p>
      <w:pPr>
        <w:jc w:val="start"/>
        <w:bidi/>
      </w:pPr>
      <w:r>
        <w:rPr>
          <w:rFonts w:ascii="arial" w:hAnsi="arial" w:eastAsia="arial" w:cs="arial"/>
          <w:sz w:val="28"/>
          <w:szCs w:val="28"/>
          <w:b w:val="1"/>
          <w:bCs w:val="1"/>
          <w:rtl/>
        </w:rPr>
        <w:t xml:space="preserve">الفلنقي
</w:t>
      </w:r>
    </w:p>
    <w:p>
      <w:pPr/>
      <w:r>
        <w:rPr/>
        <w:t xml:space="preserve">الفلنقي  محمد بن محمد بن عبد الله بن معاذ للخمي الفلنقي، ابو بكر: عالم بالقراآت، من ادباء اشبيلية. اقام مدة في قلعة بني حماد، واستوطن مدينة فاس وتوفي بها. من كتبه (الايماء إلى مذاهب السبعة القراء) وأرجوزة سماها (لؤلؤة القراء). </w:t>
      </w:r>
    </w:p>
    <w:p>
      <w:pPr>
        <w:jc w:val="start"/>
        <w:bidi/>
      </w:pPr>
      <w:r>
        <w:rPr>
          <w:sz w:val="24"/>
          <w:szCs w:val="24"/>
          <w:b w:val="1"/>
          <w:bCs w:val="1"/>
          <w:rtl/>
        </w:rPr>
        <w:t xml:space="preserve">
الأعلام،(دار العلم للملايين - بيروت،2002،ط 15،ج 7،ص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الفلنقي المقرئ
</w:t>
      </w:r>
    </w:p>
    <w:p>
      <w:pPr/>
      <w:r>
        <w:rPr/>
        <w:t xml:space="preserve">الفلنقي المقرئ محمد بن محمد بن عبد الله بن معاذ أبو بكر اللخمي الإشبيلي المعروف بالفلنقي، كان إماما في صناعة الإقراء مجودا مسندا مشاركا في العربية مليح الخط له تأليف سماه الإيماء إلى مذاهب السبعة القراء، توفي سنة ثلث وخمسين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2026-07-29T02:46:25+03:00</dcterms:created>
  <dcterms:modified xsi:type="dcterms:W3CDTF">2026-07-29T02:46:25+03:00</dcterms:modified>
</cp:coreProperties>
</file>

<file path=docProps/custom.xml><?xml version="1.0" encoding="utf-8"?>
<Properties xmlns="http://schemas.openxmlformats.org/officeDocument/2006/custom-properties" xmlns:vt="http://schemas.openxmlformats.org/officeDocument/2006/docPropsVTypes"/>
</file>