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الوهراني
</w:t>
      </w:r>
    </w:p>
    <w:p>
      <w:pPr>
        <w:jc w:val="start"/>
        <w:bidi/>
      </w:pPr>
      <w:r>
        <w:rPr>
          <w:rFonts w:ascii="arial" w:hAnsi="arial" w:eastAsia="arial" w:cs="arial"/>
          <w:sz w:val="28"/>
          <w:szCs w:val="28"/>
          <w:b w:val="1"/>
          <w:bCs w:val="1"/>
          <w:rtl/>
        </w:rPr>
        <w:t xml:space="preserve">الوهراني
</w:t>
      </w:r>
    </w:p>
    <w:p>
      <w:pPr/>
      <w:r>
        <w:rPr/>
        <w:t xml:space="preserve">الوهراني  محمد بن محرز بن محمد، ابو عبد الله الوهراني: منشيء، من اكابر الظرفاء. اصله من وهران (بقرب تلمسان) قدم الديار المصرية في ايام السلطان صلاح الدين، فاجتمع فيها بالقاضي الفاضل والعماد الأصبهاني وغيرهما من أئمة الإنشاء. ولم يكن من طبقتهم، فعدل عن طريق الجد، وسلك مناهج الهزل، فاقبل الناس على أقواله ورسائله. ثم انتقل في بلاد الشام، واقام في دمشق زمنا، وتولي الخطابة بدرايا (من قراها) وتوفي فيها. له (الرسائل -خ) في تسعة كراريس، تعرف بمنشآت الوهراني، و (المنامات -خ) قال ابن خلكان: أو لم يكن له فيها الا المنام الكبير لكفاه، وزاد ابن قاضي شهبة: فانه ما سبق إلى مثله. </w:t>
      </w:r>
    </w:p>
    <w:p>
      <w:pPr>
        <w:jc w:val="start"/>
        <w:bidi/>
      </w:pPr>
      <w:r>
        <w:rPr>
          <w:sz w:val="24"/>
          <w:szCs w:val="24"/>
          <w:b w:val="1"/>
          <w:bCs w:val="1"/>
          <w:rtl/>
        </w:rPr>
        <w:t xml:space="preserve">
الأعلام،(دار العلم للملايين - بيروت،2002،ط 15،ج 7،ص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2026-10-05T17:13:23+03:00</dcterms:created>
  <dcterms:modified xsi:type="dcterms:W3CDTF">2026-10-05T17:13:23+03:00</dcterms:modified>
</cp:coreProperties>
</file>

<file path=docProps/custom.xml><?xml version="1.0" encoding="utf-8"?>
<Properties xmlns="http://schemas.openxmlformats.org/officeDocument/2006/custom-properties" xmlns:vt="http://schemas.openxmlformats.org/officeDocument/2006/docPropsVTypes"/>
</file>