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ربداء بنت عمرو بن عمارة بن عطية البلوية
</w:t>
      </w:r>
    </w:p>
    <w:p>
      <w:pPr>
        <w:jc w:val="start"/>
        <w:bidi/>
      </w:pPr>
      <w:r>
        <w:rPr>
          <w:rFonts w:ascii="arial" w:hAnsi="arial" w:eastAsia="arial" w:cs="arial"/>
          <w:sz w:val="28"/>
          <w:szCs w:val="28"/>
          <w:b w:val="1"/>
          <w:bCs w:val="1"/>
          <w:rtl/>
        </w:rPr>
        <w:t xml:space="preserve">ربداء بنت عمرو بن عمارة بن عطية البلوية
</w:t>
      </w:r>
    </w:p>
    <w:p>
      <w:pPr/>
      <w:r>
        <w:rPr/>
        <w:t xml:space="preserve">ربداء بنت عمرو بن عمارة بن عطية البلوية  روى أبو عمر محمد بن يوسف الكندي، قال: حدثني علي بن قديد، عن عبيد الله بن سعيد، قال: كان ياسر أبو الربداء عبدا لامرأة من بلي يقال لها الربداء بنت عمرو ابن عمارة بن عطية البلوية، فزعم أن النبي صلى الله عليه وسلم مر به وهو يرعى كما لمولاته، وله فيها شاتان، فاستسقاه، فحلبت له شاتيه، ثم راح وقد حفلتا، فذكر ذلك لمولاته، فقالت: أنت حر، فتكنى بأبي الربداء.</w:t>
      </w:r>
    </w:p>
    <w:p>
      <w:pPr>
        <w:jc w:val="start"/>
        <w:bidi/>
      </w:pPr>
      <w:r>
        <w:rPr>
          <w:sz w:val="24"/>
          <w:szCs w:val="24"/>
          <w:b w:val="1"/>
          <w:bCs w:val="1"/>
          <w:rtl/>
        </w:rPr>
        <w:t xml:space="preserve">
الاستيعاب في معرفة الأصحاب،(دار الجيل - بيروت،1992،ط 1،ج 4،ص 1836)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2026-07-27T21:54:54+03:00</dcterms:created>
  <dcterms:modified xsi:type="dcterms:W3CDTF">2026-07-27T21:54:54+03:00</dcterms:modified>
</cp:coreProperties>
</file>

<file path=docProps/custom.xml><?xml version="1.0" encoding="utf-8"?>
<Properties xmlns="http://schemas.openxmlformats.org/officeDocument/2006/custom-properties" xmlns:vt="http://schemas.openxmlformats.org/officeDocument/2006/docPropsVTypes"/>
</file>