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الرصاع
</w:t>
      </w:r>
    </w:p>
    <w:p>
      <w:pPr>
        <w:jc w:val="start"/>
        <w:bidi/>
      </w:pPr>
      <w:r>
        <w:rPr>
          <w:rFonts w:ascii="arial" w:hAnsi="arial" w:eastAsia="arial" w:cs="arial"/>
          <w:sz w:val="28"/>
          <w:szCs w:val="28"/>
          <w:b w:val="1"/>
          <w:bCs w:val="1"/>
          <w:rtl/>
        </w:rPr>
        <w:t xml:space="preserve">الرصاع
</w:t>
      </w:r>
    </w:p>
    <w:p>
      <w:pPr/>
      <w:r>
        <w:rPr/>
        <w:t xml:space="preserve">الرصاع  محمد بن قاسم الأنصاري، ابو عبد الله، الرصاع: قاضي الجماعة بتونس. اقتصر في اواخر أيامه على إمامة جامع الزيتزنة والخطابة فيه، متصدرا للإفتاء وإقراء الفقه والعربية. وعرف بالرصاع لان احد جدوده كان بحارا يرصع المنابر. له كتب، منها (التسهيل والتقريب والتصحيح لرواية الجامع الصحيح -خ) و (تذكرة المحبين في شرح أسماء سيد المرسلين -خ) و (الكلام على الآيات الواقعة في شواهد المغني لابن هشام) مجلدان، و (فهرسة) وكتاب في (الفقه) المالكي، كبير. </w:t>
      </w:r>
    </w:p>
    <w:p>
      <w:pPr>
        <w:jc w:val="start"/>
        <w:bidi/>
      </w:pPr>
      <w:r>
        <w:rPr>
          <w:sz w:val="24"/>
          <w:szCs w:val="24"/>
          <w:b w:val="1"/>
          <w:bCs w:val="1"/>
          <w:rtl/>
        </w:rPr>
        <w:t xml:space="preserve">
الأعلام،(دار العلم للملايين - بيروت،2002،ط 15،ج 7،ص 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2026-10-05T15:26:55+03:00</dcterms:created>
  <dcterms:modified xsi:type="dcterms:W3CDTF">2026-10-05T15:26:55+03:00</dcterms:modified>
</cp:coreProperties>
</file>

<file path=docProps/custom.xml><?xml version="1.0" encoding="utf-8"?>
<Properties xmlns="http://schemas.openxmlformats.org/officeDocument/2006/custom-properties" xmlns:vt="http://schemas.openxmlformats.org/officeDocument/2006/docPropsVTypes"/>
</file>