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الكامل
</w:t>
      </w:r>
    </w:p>
    <w:p>
      <w:pPr>
        <w:jc w:val="start"/>
        <w:bidi/>
      </w:pPr>
      <w:r>
        <w:rPr>
          <w:rFonts w:ascii="arial" w:hAnsi="arial" w:eastAsia="arial" w:cs="arial"/>
          <w:sz w:val="28"/>
          <w:szCs w:val="28"/>
          <w:b w:val="1"/>
          <w:bCs w:val="1"/>
          <w:rtl/>
        </w:rPr>
        <w:t xml:space="preserve">الملك الكامل
</w:t>
      </w:r>
    </w:p>
    <w:p>
      <w:pPr/>
      <w:r>
        <w:rPr/>
        <w:t xml:space="preserve">الملك الكامل  محمد بن غازي (المظفر) بن محمد (العادل) : صاحب ميافارقين، الملقب بالملك الكامل. كان شجاعا، صبر زمنا على حرب التتار، وحاصروه اكثر من سنة ونصف، وهو ظاهر عليهم، إلى ان فني أهل البلد، لفناء زادهم، ودخلها التر فوجدوه مع من بقي من اصحابه موتى او مرضى، فقطعوا رأسه وحملوه إلى البلاد وطافوا به في دمشق على رمح قصير، علق عليه بشعره فوق قطعة شبكة. ولابي شامة المؤرخ ابيات في رثائه يصف بها طوافهم برأسه. </w:t>
      </w:r>
    </w:p>
    <w:p>
      <w:pPr>
        <w:jc w:val="start"/>
        <w:bidi/>
      </w:pPr>
      <w:r>
        <w:rPr>
          <w:sz w:val="24"/>
          <w:szCs w:val="24"/>
          <w:b w:val="1"/>
          <w:bCs w:val="1"/>
          <w:rtl/>
        </w:rPr>
        <w:t xml:space="preserve">
الأعلام،(دار العلم للملايين - بيروت،2002،ط 15،ج 6،ص 324)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2026-10-05T13:39:41+03:00</dcterms:created>
  <dcterms:modified xsi:type="dcterms:W3CDTF">2026-10-05T13:39:41+03:00</dcterms:modified>
</cp:coreProperties>
</file>

<file path=docProps/custom.xml><?xml version="1.0" encoding="utf-8"?>
<Properties xmlns="http://schemas.openxmlformats.org/officeDocument/2006/custom-properties" xmlns:vt="http://schemas.openxmlformats.org/officeDocument/2006/docPropsVTypes"/>
</file>