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الشريشي السلوي
</w:t>
      </w:r>
    </w:p>
    <w:p>
      <w:pPr>
        <w:jc w:val="start"/>
        <w:bidi/>
      </w:pPr>
      <w:r>
        <w:rPr>
          <w:rFonts w:ascii="arial" w:hAnsi="arial" w:eastAsia="arial" w:cs="arial"/>
          <w:sz w:val="28"/>
          <w:szCs w:val="28"/>
          <w:b w:val="1"/>
          <w:bCs w:val="1"/>
          <w:rtl/>
        </w:rPr>
        <w:t xml:space="preserve">الشريشي السلوي
</w:t>
      </w:r>
    </w:p>
    <w:p>
      <w:pPr/>
      <w:r>
        <w:rPr/>
        <w:t xml:space="preserve">الشريشي السلوي  أحمد بن محمد بن أحمد بن خلف القرشي التيمي البكري الصديقي، أبو العباس، تاج الدين الشريشي السلوي: متصوف مالكي، برع في علم الكلام وأصول الفقه. له نظم. ولد في سلا (بجوار الرباط عاصمة المغرب) ونشأ بمراكش وقرأ بها وبفاس وبالأندلس، وحج فأخذ عن علماء بغداد ومصر وغيرهما. وتصوف على يد أبي حفص السهروردي (عمر بن محمد) واستقر في الفيوم (بمصر) وتوفي بها. اشتهر بقصيدة له في التصوف، رائية سماها (أنوار السرائر وسرائر الأنوار) شرحها أحمد ابن يوسف بن محمد الفاسي في مجلد مخطوط بخزانة الرباط (د 277) وعنه أخذت هذه الترجمة ثم علمت بأنه طبع بمصر. </w:t>
      </w:r>
    </w:p>
    <w:p>
      <w:pPr>
        <w:jc w:val="start"/>
        <w:bidi/>
      </w:pPr>
      <w:r>
        <w:rPr>
          <w:sz w:val="24"/>
          <w:szCs w:val="24"/>
          <w:b w:val="1"/>
          <w:bCs w:val="1"/>
          <w:rtl/>
        </w:rPr>
        <w:t xml:space="preserve">
الأعلام،(دار العلم للملايين - بيروت،2002،ط 15،ج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2026-07-29T13:17:01+03:00</dcterms:created>
  <dcterms:modified xsi:type="dcterms:W3CDTF">2026-07-29T13:17:01+03:00</dcterms:modified>
</cp:coreProperties>
</file>

<file path=docProps/custom.xml><?xml version="1.0" encoding="utf-8"?>
<Properties xmlns="http://schemas.openxmlformats.org/officeDocument/2006/custom-properties" xmlns:vt="http://schemas.openxmlformats.org/officeDocument/2006/docPropsVTypes"/>
</file>