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المليكشي
</w:t>
      </w:r>
    </w:p>
    <w:p>
      <w:pPr>
        <w:jc w:val="start"/>
        <w:bidi/>
      </w:pPr>
      <w:r>
        <w:rPr>
          <w:rFonts w:ascii="arial" w:hAnsi="arial" w:eastAsia="arial" w:cs="arial"/>
          <w:sz w:val="28"/>
          <w:szCs w:val="28"/>
          <w:b w:val="1"/>
          <w:bCs w:val="1"/>
          <w:rtl/>
        </w:rPr>
        <w:t xml:space="preserve">المليكشي
</w:t>
      </w:r>
    </w:p>
    <w:p>
      <w:pPr/>
      <w:r>
        <w:rPr/>
        <w:t xml:space="preserve">المليكشي  محمد بن عمر بن علي المليكشي التونسي، ابو عبد الله: اديب، كان صاحب خطة الانشاء بتونس. نعته المقري بكاتب الخلافة. وقال ابن الخطيب: كتب عند الامراء بافريقية، ودخل الاندلس سنة 18 ومدح الكبراء، ثم رجع إلى وطنه، وامتحن مدة ثم خلص. وقال الديسي (في تعريف الخلف) : له شعر رائق ونثر فائق وتآليف مستظرفة. توفي بتونس. </w:t>
      </w:r>
    </w:p>
    <w:p>
      <w:pPr>
        <w:jc w:val="start"/>
        <w:bidi/>
      </w:pPr>
      <w:r>
        <w:rPr>
          <w:sz w:val="24"/>
          <w:szCs w:val="24"/>
          <w:b w:val="1"/>
          <w:bCs w:val="1"/>
          <w:rtl/>
        </w:rPr>
        <w:t xml:space="preserve">
الأعلام،(دار العلم للملايين - بيروت،2002،ط 15،ج 6،ص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المليكشي
</w:t>
      </w:r>
    </w:p>
    <w:p>
      <w:pPr/>
      <w:r>
        <w:rPr/>
        <w:t xml:space="preserve">المليكشي  محمد بن عمر بن علي بن محمد بن إبراهيم المليكشي، وعرف بابن عمر، البجائي ثم التونسي فقيه أديب كاتب.</w:t>
      </w:r>
    </w:p>
    <w:p/>
    <w:p>
      <w:pPr/>
      <w:r>
        <w:rPr/>
        <w:t xml:space="preserve">تولى خطة الإنشاء بتونس نعته المقري بكاتب الخلافة، وقال لسان الدين بن الخطيب: كتب عند الأمراء بإفريقية.</w:t>
      </w:r>
    </w:p>
    <w:p/>
    <w:p>
      <w:pPr/>
      <w:r>
        <w:rPr/>
        <w:t xml:space="preserve">وله شعر رائق، وكتابة بليغة، وتآليفه مستطرفة، وقد ذكره خالد البلوي في رحلته وأثنى عليه، ورحل إلى المشرق فحج وروى عن جماعة بالحجاز ومصر والإسكندرية، كالرضي الطبري سمع عليه الكتب الخمسة، والسراج محمد بن طراد قاضي المدينة وخطيبها، وأبي محمد الدلاصي، والنجم الطبري، وغيرهم. ودخل الأندلس، ومدح الكبراء، ثم رجع إلى وطنه، وامتحن مدة، ثم خلص.</w:t>
      </w:r>
    </w:p>
    <w:p/>
    <w:p>
      <w:pPr/>
      <w:r>
        <w:rPr/>
        <w:t xml:space="preserve">المصادر والمراجع:</w:t>
      </w:r>
    </w:p>
    <w:p/>
    <w:p>
      <w:pPr/>
      <w:r>
        <w:rPr/>
        <w:t xml:space="preserve">- الأعلام 6/ 314 (ط 5/).</w:t>
      </w:r>
    </w:p>
    <w:p/>
    <w:p>
      <w:pPr/>
      <w:r>
        <w:rPr/>
        <w:t xml:space="preserve">- تعريف الخلف برجال السلف 1/ 173.</w:t>
      </w:r>
    </w:p>
    <w:p/>
    <w:p>
      <w:pPr/>
      <w:r>
        <w:rPr/>
        <w:t xml:space="preserve">- نفح الطيب 8/ 346، 348 (نقلا عن الإحاطة).</w:t>
      </w:r>
    </w:p>
    <w:p/>
    <w:p>
      <w:pPr/>
      <w:r>
        <w:rPr/>
        <w:t xml:space="preserve">- نيل الابتهاج 239، 240.</w:t>
      </w:r>
    </w:p>
    <w:p>
      <w:pPr>
        <w:jc w:val="start"/>
        <w:bidi/>
      </w:pPr>
      <w:r>
        <w:rPr>
          <w:sz w:val="24"/>
          <w:szCs w:val="24"/>
          <w:b w:val="1"/>
          <w:bCs w:val="1"/>
          <w:rtl/>
        </w:rPr>
        <w:t xml:space="preserve">
تراجم المؤلفين التونسيين،(دار الغرب الإسلامي، بيروت - لبنان،1994،ط 2،ج 4،ص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2026-10-05T11:28:22+03:00</dcterms:created>
  <dcterms:modified xsi:type="dcterms:W3CDTF">2026-10-05T11:28:22+03:00</dcterms:modified>
</cp:coreProperties>
</file>

<file path=docProps/custom.xml><?xml version="1.0" encoding="utf-8"?>
<Properties xmlns="http://schemas.openxmlformats.org/officeDocument/2006/custom-properties" xmlns:vt="http://schemas.openxmlformats.org/officeDocument/2006/docPropsVTypes"/>
</file>