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المنصور
</w:t>
      </w:r>
    </w:p>
    <w:p>
      <w:pPr>
        <w:jc w:val="start"/>
        <w:bidi/>
      </w:pPr>
      <w:r>
        <w:rPr>
          <w:rFonts w:ascii="arial" w:hAnsi="arial" w:eastAsia="arial" w:cs="arial"/>
          <w:sz w:val="28"/>
          <w:szCs w:val="28"/>
          <w:b w:val="1"/>
          <w:bCs w:val="1"/>
          <w:rtl/>
        </w:rPr>
        <w:t xml:space="preserve">الملك المنصور
</w:t>
      </w:r>
    </w:p>
    <w:p>
      <w:pPr/>
      <w:r>
        <w:rPr/>
        <w:t xml:space="preserve">الملك المنصور  محمد بن عمر المظفر بن شاهنشاه، الايوبي. ابو المعالي، ناصر الدين، المنصور ابن المظفر: صاحب حماة، واحد العلماء بالتاريخ والادب. سمع الحديث في الاسكندرية. وصار اليه ملك حماة بعد ابيه، فكان في خدمته بها قريب من مئتي عالم. وكانت له مع الفرنج حروب. وصنف (مضمار الحقائق) في التاريخ، عشر مجلدات، جمع فيه جملة من التواريخ واسماء من ورد عليه واقام عنده، و (طبقات الشعراء -خ) و (درر الادآب ومحاسن ذوي الالباب -خ) وجمعت اشعاره في (ديوان) وبني (جسر المراب) في حماة، ويعرف اليوم بجسر السرايا. ومن آثاره فيها (سوق المنصورية) المعروف اليوم بالسوق، و (حمام السلطان) توفي في قلعتها. </w:t>
      </w:r>
    </w:p>
    <w:p>
      <w:pPr>
        <w:jc w:val="start"/>
        <w:bidi/>
      </w:pPr>
      <w:r>
        <w:rPr>
          <w:sz w:val="24"/>
          <w:szCs w:val="24"/>
          <w:b w:val="1"/>
          <w:bCs w:val="1"/>
          <w:rtl/>
        </w:rPr>
        <w:t xml:space="preserve">
الأعلام،(دار العلم للملايين - بيروت،2002،ط 15،ج 6،ص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2026-07-28T21:57:34+03:00</dcterms:created>
  <dcterms:modified xsi:type="dcterms:W3CDTF">2026-07-28T21:57:34+03:00</dcterms:modified>
</cp:coreProperties>
</file>

<file path=docProps/custom.xml><?xml version="1.0" encoding="utf-8"?>
<Properties xmlns="http://schemas.openxmlformats.org/officeDocument/2006/custom-properties" xmlns:vt="http://schemas.openxmlformats.org/officeDocument/2006/docPropsVTypes"/>
</file>