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الحريري الحرفوشي
</w:t>
      </w:r>
    </w:p>
    <w:p>
      <w:pPr>
        <w:jc w:val="start"/>
        <w:bidi/>
      </w:pPr>
      <w:r>
        <w:rPr>
          <w:rFonts w:ascii="arial" w:hAnsi="arial" w:eastAsia="arial" w:cs="arial"/>
          <w:sz w:val="28"/>
          <w:szCs w:val="28"/>
          <w:b w:val="1"/>
          <w:bCs w:val="1"/>
          <w:rtl/>
        </w:rPr>
        <w:t xml:space="preserve">الحريري الحرفوشي
</w:t>
      </w:r>
    </w:p>
    <w:p>
      <w:pPr/>
      <w:r>
        <w:rPr/>
        <w:t xml:space="preserve">الحريري الحرفوشي  محمد بن علي بن أحمد الحريري الحرفوشي العاملي الدمشقي: شاعر، من اكابر ادباء عصره. من أهل دمشق. كان يشتغل بصناعة الحرير، فنسب اليها. ورحل إلى بلاد العجم (إيران) فعظم شأنه، ومات فيها. له كتب، منها (نهج النجاة في ما اختلف به النحاة) و (طرائف النظام ولطائف الانسجام) مختارات من الشعر، و (اللالي السينية) شرح الاجرومية، و (شرح الزبدة) في الاصول. </w:t>
      </w:r>
    </w:p>
    <w:p>
      <w:pPr>
        <w:jc w:val="start"/>
        <w:bidi/>
      </w:pPr>
      <w:r>
        <w:rPr>
          <w:sz w:val="24"/>
          <w:szCs w:val="24"/>
          <w:b w:val="1"/>
          <w:bCs w:val="1"/>
          <w:rtl/>
        </w:rPr>
        <w:t xml:space="preserve">
الأعلام،(دار العلم للملايين - بيروت،2002،ط 15،ج 6،ص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2026-10-05T07:59:18+03:00</dcterms:created>
  <dcterms:modified xsi:type="dcterms:W3CDTF">2026-10-05T07:59:18+03:00</dcterms:modified>
</cp:coreProperties>
</file>

<file path=docProps/custom.xml><?xml version="1.0" encoding="utf-8"?>
<Properties xmlns="http://schemas.openxmlformats.org/officeDocument/2006/custom-properties" xmlns:vt="http://schemas.openxmlformats.org/officeDocument/2006/docPropsVTypes"/>
</file>