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محمد السيفي
</w:t>
      </w:r>
    </w:p>
    <w:p>
      <w:pPr>
        <w:jc w:val="start"/>
        <w:bidi/>
      </w:pPr>
      <w:r>
        <w:rPr>
          <w:rFonts w:ascii="arial" w:hAnsi="arial" w:eastAsia="arial" w:cs="arial"/>
          <w:sz w:val="28"/>
          <w:szCs w:val="28"/>
          <w:b w:val="1"/>
          <w:bCs w:val="1"/>
          <w:rtl/>
        </w:rPr>
        <w:t xml:space="preserve">الأمير محمد السيفي
</w:t>
      </w:r>
    </w:p>
    <w:p>
      <w:pPr/>
      <w:r>
        <w:rPr/>
        <w:t xml:space="preserve">الأمير محمد السيفي  محمد بن علي السيفي الطرابلسي: من امراء بني سيفا، حكام طرابلس الشلم، يتوارثونها خلفا عن سلف؛ وكانت لهم شهرة بالكرم والادب. وهم اكراد الاصل. وصاحب الترجمة من خيارهم. كانت له معارك مع الامير فخر الدين المعنى. وفي خلاصة ااثر ان للامير محمد كثيرا من (الموالي) وكان جوادا شجاعا. ولي بعد الامير يوسف السيفي (سنة 1025هت) وتوفي مسموما في رحلة قام بها إلى بلاد الروم (تركيا) وانهار البيت السيفي بعده. </w:t>
      </w:r>
    </w:p>
    <w:p>
      <w:pPr>
        <w:jc w:val="start"/>
        <w:bidi/>
      </w:pPr>
      <w:r>
        <w:rPr>
          <w:sz w:val="24"/>
          <w:szCs w:val="24"/>
          <w:b w:val="1"/>
          <w:bCs w:val="1"/>
          <w:rtl/>
        </w:rPr>
        <w:t xml:space="preserve">
الأعلام،(دار العلم للملايين - بيروت،2002،ط 15،ج 6،ص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2026-10-05T07:57:48+03:00</dcterms:created>
  <dcterms:modified xsi:type="dcterms:W3CDTF">2026-10-05T07:57:48+03:00</dcterms:modified>
</cp:coreProperties>
</file>

<file path=docProps/custom.xml><?xml version="1.0" encoding="utf-8"?>
<Properties xmlns="http://schemas.openxmlformats.org/officeDocument/2006/custom-properties" xmlns:vt="http://schemas.openxmlformats.org/officeDocument/2006/docPropsVTypes"/>
</file>