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عطية
</w:t>
      </w:r>
    </w:p>
    <w:p>
      <w:pPr>
        <w:jc w:val="start"/>
        <w:bidi/>
      </w:pPr>
      <w:r>
        <w:rPr>
          <w:rFonts w:ascii="arial" w:hAnsi="arial" w:eastAsia="arial" w:cs="arial"/>
          <w:sz w:val="28"/>
          <w:szCs w:val="28"/>
          <w:b w:val="1"/>
          <w:bCs w:val="1"/>
          <w:rtl/>
        </w:rPr>
        <w:t xml:space="preserve">ابن عطية
</w:t>
      </w:r>
    </w:p>
    <w:p>
      <w:pPr/>
      <w:r>
        <w:rPr/>
        <w:t xml:space="preserve">ابن عطية  محمد بن علي بن عطية، شمس الدين الحموي الشافعي: واعظ متصوف. له نظم جيد. من أهل (حماة) بسورية، ووفاته فيها. قال ابن العماد: (كان سريع الانشء بحيث لو اخذ في وضوء صلاى الجمعة وطلب منه ان يخطب، لعمل على البديهة في سره خطبة عجيبة وخطب بها حالا). له (تحفة الجيبي فيما يبهجه من رياض الشهود والتقريب -خ) تصوف، و (فتاوى الشافعي في المسائل المتعلقة بالرافضية وام المهدي -خ). </w:t>
      </w:r>
    </w:p>
    <w:p>
      <w:pPr>
        <w:jc w:val="start"/>
        <w:bidi/>
      </w:pPr>
      <w:r>
        <w:rPr>
          <w:sz w:val="24"/>
          <w:szCs w:val="24"/>
          <w:b w:val="1"/>
          <w:bCs w:val="1"/>
          <w:rtl/>
        </w:rPr>
        <w:t xml:space="preserve">
الأعلام،(دار العلم للملايين - بيروت،2002،ط 15،ج 6،ص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2026-10-05T07:47:56+03:00</dcterms:created>
  <dcterms:modified xsi:type="dcterms:W3CDTF">2026-10-05T07:47:56+03:00</dcterms:modified>
</cp:coreProperties>
</file>

<file path=docProps/custom.xml><?xml version="1.0" encoding="utf-8"?>
<Properties xmlns="http://schemas.openxmlformats.org/officeDocument/2006/custom-properties" xmlns:vt="http://schemas.openxmlformats.org/officeDocument/2006/docPropsVTypes"/>
</file>