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عراق
</w:t>
      </w:r>
    </w:p>
    <w:p>
      <w:pPr>
        <w:jc w:val="start"/>
        <w:bidi/>
      </w:pPr>
      <w:r>
        <w:rPr>
          <w:rFonts w:ascii="arial" w:hAnsi="arial" w:eastAsia="arial" w:cs="arial"/>
          <w:sz w:val="28"/>
          <w:szCs w:val="28"/>
          <w:b w:val="1"/>
          <w:bCs w:val="1"/>
          <w:rtl/>
        </w:rPr>
        <w:t xml:space="preserve">ابن عراق
</w:t>
      </w:r>
    </w:p>
    <w:p>
      <w:pPr/>
      <w:r>
        <w:rPr/>
        <w:t xml:space="preserve">ابن عراق  محمد بن علي بن عبد الرحمن بن عراق، شمس الدين، ابو علي الناني الدمشقي: باحث، كان يلقب بشيخ الاسلام. ولد في دمشق ونشأ وجيها شجاعا انفرد بالفروسية. واشتغل بالصيد والشطرنج والنرد والتنعم، ثم انقطع إلى العلم، وسكن بيروت. وتصوف، وحج فجاور بالحرمين، واشتهر وانتفع الناس بعلمه. وتوفي بمكة فخرج اميرها (ابو نمى) في جنازته. من مصنفاته (هداية الثقلين في فضل الحرمين) و (السفينة العراقية) و (المنح العامية والنفحات المكية) و (شرح العباب) في فقه الشافعية، لم يتم، و (مواهب الرحمن) و (جوهرة الخواص -خ) رسالة في علم المواعظ، و (كشف الحجاب برؤية الجناب -خ). </w:t>
      </w:r>
    </w:p>
    <w:p>
      <w:pPr>
        <w:jc w:val="start"/>
        <w:bidi/>
      </w:pPr>
      <w:r>
        <w:rPr>
          <w:sz w:val="24"/>
          <w:szCs w:val="24"/>
          <w:b w:val="1"/>
          <w:bCs w:val="1"/>
          <w:rtl/>
        </w:rPr>
        <w:t xml:space="preserve">
الأعلام،(دار العلم للملايين - بيروت،2002،ط 15،ج 6،ص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2026-10-05T07:42:21+03:00</dcterms:created>
  <dcterms:modified xsi:type="dcterms:W3CDTF">2026-10-05T07:42:21+03:00</dcterms:modified>
</cp:coreProperties>
</file>

<file path=docProps/custom.xml><?xml version="1.0" encoding="utf-8"?>
<Properties xmlns="http://schemas.openxmlformats.org/officeDocument/2006/custom-properties" xmlns:vt="http://schemas.openxmlformats.org/officeDocument/2006/docPropsVTypes"/>
</file>