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المدهجن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المدهجن
</w:t>
      </w:r>
    </w:p>
    <w:p>
      <w:pPr/>
      <w:r>
        <w:rPr/>
        <w:t xml:space="preserve">المدهجن  محمد بن علي، جمال الدين القرشي المدهجن : عالم بالانساب. له (رسالة في أنساب القبائل التي سكنت مدينة زبيد باليمن - خ) في دار الكتب 945 تاريخ).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المدهجن
</w:t>
      </w:r>
    </w:p>
    <w:p>
      <w:pPr/>
      <w:r>
        <w:rPr/>
        <w:t xml:space="preserve">المدهجن </w:t>
      </w:r>
    </w:p>
    <w:p/>
    <w:p>
      <w:pPr/>
      <w:r>
        <w:rPr/>
        <w:t xml:space="preserve">جمال الدين محمد بن علي المدهجن الفقيه النسابة القرشي. م في حدود سنة 895 هـ رحمه الله تعالى.</w:t>
      </w:r>
    </w:p>
    <w:p/>
    <w:p>
      <w:pPr/>
      <w:r>
        <w:rPr/>
        <w:t xml:space="preserve">له: كتاب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2026-10-05T06:42:22+03:00</dcterms:created>
  <dcterms:modified xsi:type="dcterms:W3CDTF">2026-10-05T06:42:22+03:00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