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إمام المشهد
</w:t>
      </w:r>
    </w:p>
    <w:p>
      <w:pPr>
        <w:jc w:val="start"/>
        <w:bidi/>
      </w:pPr>
      <w:r>
        <w:rPr>
          <w:rFonts w:ascii="arial" w:hAnsi="arial" w:eastAsia="arial" w:cs="arial"/>
          <w:sz w:val="28"/>
          <w:szCs w:val="28"/>
          <w:b w:val="1"/>
          <w:bCs w:val="1"/>
          <w:rtl/>
        </w:rPr>
        <w:t xml:space="preserve">ابن إمام المشهد
</w:t>
      </w:r>
    </w:p>
    <w:p>
      <w:pPr/>
      <w:r>
        <w:rPr/>
        <w:t xml:space="preserve">ابن إمام المشهد  محمد بن علي بن سعد الانصاري الدمشقي، أبو المعالي، بهاء الدين المعروف بابن إمام المشهد : فاضل، من فقهاء الشافعية سمع بدمشق ومصر وغيرهما. ودرس وولي الحسبة بدمشق وألف كتابا في (أحاديث الاحكام) أربع مجلدات، وجمع مجلدات على كتاب (التمييز) في الفقه للبارزي. قال ابن كثير : كان مجموع الفضائل، له تصانيف وفوائد حسنة. توفي بدمشق. </w:t>
      </w:r>
    </w:p>
    <w:p>
      <w:pPr>
        <w:jc w:val="start"/>
        <w:bidi/>
      </w:pPr>
      <w:r>
        <w:rPr>
          <w:sz w:val="24"/>
          <w:szCs w:val="24"/>
          <w:b w:val="1"/>
          <w:bCs w:val="1"/>
          <w:rtl/>
        </w:rPr>
        <w:t xml:space="preserve">
الأعلام،(دار العلم للملايين - بيروت،2002،ط 15،ج 6،ص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سعيد الأنصاري بهاء الدين أبو المعالي
</w:t>
      </w:r>
    </w:p>
    <w:p>
      <w:pPr/>
      <w:r>
        <w:rPr/>
        <w:t xml:space="preserve">محمد بن علي بن سعيد الأنصاري بهاء الدين أبو المعالي محمد بن علي بن سعيد الأنصاري بهاء الدين أبو المعالي إمام المشهد ولد في ذي الحجة سنة 696 وسمع بمصر ودمشق والإسكندرية وحلب من أشياخ عصره كابن مشرف وست الوزراء وابن الشيرازي ومن بعدهم وكتب الطباق وتفقه بالشيخ برهان الدين الفزاري وابن الزملكاني وقرا القراءات على الكفري والعربية على المجد التونسي ولازم نجم الدين القحفازي كثيرا وكان حسن الخط والنظم درس بالقوصية والأمينية بدمشق وأم بدار الحديث الأشرفية وولي الحسبة بدمشق مرارا وخطب بجامع العقيبة وهو القائل </w:t>
      </w:r>
    </w:p>
    <w:p/>
    <w:p>
      <w:pPr>
        <w:jc w:val="center"/>
      </w:pPr>
      <w:r>
        <w:rPr>
          <w:color w:val="ff0000"/>
        </w:rPr>
        <w:t xml:space="preserve">ولولا ما أخاف من الأعادي</w:t>
      </w:r>
      <w:r>
        <w:rPr>
          <w:color w:val="ff0000"/>
        </w:rPr>
        <w:t xml:space="preserve">      </w:t>
      </w:r>
      <w:r>
        <w:rPr>
          <w:color w:val="ff0000"/>
        </w:rPr>
        <w:t xml:space="preserve">وأن حديثنا فيهم يسير</w:t>
      </w:r>
    </w:p>
    <w:p/>
    <w:p>
      <w:pPr>
        <w:jc w:val="center"/>
      </w:pPr>
      <w:r>
        <w:rPr>
          <w:color w:val="ff0000"/>
        </w:rPr>
        <w:t xml:space="preserve">جننت بهم كما مجنون ليلى</w:t>
      </w:r>
      <w:r>
        <w:rPr>
          <w:color w:val="ff0000"/>
        </w:rPr>
        <w:t xml:space="preserve">      </w:t>
      </w:r>
      <w:r>
        <w:rPr>
          <w:color w:val="ff0000"/>
        </w:rPr>
        <w:t xml:space="preserve">وأن طال المدى فكذا يصير</w:t>
      </w:r>
    </w:p>
    <w:p/>
    <w:p>
      <w:pPr/>
      <w:r>
        <w:rPr/>
        <w:t xml:space="preserve">قال الذهبي في المعجم المختص ظهرت فضائله وألف أحكاما وسمع مني وقال ابن رافع جمع مجلدات على كتاب التمييز في الفقه للبارزي وقال ابن كثير كان مجموع الفضائل وله تصانيف وفوائد حسنة مات في شهر رمضان وقيل في ذي الحجة سنة 752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2026-10-05T06:48:34+03:00</dcterms:created>
  <dcterms:modified xsi:type="dcterms:W3CDTF">2026-10-05T06:48:34+03:00</dcterms:modified>
</cp:coreProperties>
</file>

<file path=docProps/custom.xml><?xml version="1.0" encoding="utf-8"?>
<Properties xmlns="http://schemas.openxmlformats.org/officeDocument/2006/custom-properties" xmlns:vt="http://schemas.openxmlformats.org/officeDocument/2006/docPropsVTypes"/>
</file>