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المصري
</w:t>
      </w:r>
    </w:p>
    <w:p>
      <w:pPr>
        <w:jc w:val="start"/>
        <w:bidi/>
      </w:pPr>
      <w:r>
        <w:rPr>
          <w:rFonts w:ascii="arial" w:hAnsi="arial" w:eastAsia="arial" w:cs="arial"/>
          <w:sz w:val="28"/>
          <w:szCs w:val="28"/>
          <w:b w:val="1"/>
          <w:bCs w:val="1"/>
          <w:rtl/>
        </w:rPr>
        <w:t xml:space="preserve">المصري
</w:t>
      </w:r>
    </w:p>
    <w:p>
      <w:pPr/>
      <w:r>
        <w:rPr/>
        <w:t xml:space="preserve">المصري  محمد بن علي بن إبراهيم المصري : مفسر، من الشافعية. ولد بمصر ونشأ بدمشق وقرأ على شيوخ العلم في عصره. وكان يحفظ كل يوم 500 سطر. وأذن له بالافتاء وهو ابن 23 سنة وتصدر للتدريس. وعمل في التجارة وحصل منها نعمة طائلة. وتولى نيابة الحكم ثم تركها (729) وتوفي بدمشق. لم يذكر له ابن حجر تأليفا إلا ان إسماعيل البغدادي قال : له (تفسير القرآن). </w:t>
      </w:r>
    </w:p>
    <w:p>
      <w:pPr>
        <w:jc w:val="start"/>
        <w:bidi/>
      </w:pPr>
      <w:r>
        <w:rPr>
          <w:sz w:val="24"/>
          <w:szCs w:val="24"/>
          <w:b w:val="1"/>
          <w:bCs w:val="1"/>
          <w:rtl/>
        </w:rPr>
        <w:t xml:space="preserve">
الأعلام،(دار العلم للملايين - بيروت،2002،ط 15،ج 6،ص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2026-10-05T05:37:53+03:00</dcterms:created>
  <dcterms:modified xsi:type="dcterms:W3CDTF">2026-10-05T05:37:53+03:00</dcterms:modified>
</cp:coreProperties>
</file>

<file path=docProps/custom.xml><?xml version="1.0" encoding="utf-8"?>
<Properties xmlns="http://schemas.openxmlformats.org/officeDocument/2006/custom-properties" xmlns:vt="http://schemas.openxmlformats.org/officeDocument/2006/docPropsVTypes"/>
</file>