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الضبي
</w:t>
      </w:r>
    </w:p>
    <w:p>
      <w:pPr>
        <w:jc w:val="start"/>
        <w:bidi/>
      </w:pPr>
      <w:r>
        <w:rPr>
          <w:rFonts w:ascii="arial" w:hAnsi="arial" w:eastAsia="arial" w:cs="arial"/>
          <w:sz w:val="28"/>
          <w:szCs w:val="28"/>
          <w:b w:val="1"/>
          <w:bCs w:val="1"/>
          <w:rtl/>
        </w:rPr>
        <w:t xml:space="preserve">عبد الوهاب الضبي
</w:t>
      </w:r>
    </w:p>
    <w:p>
      <w:pPr/>
      <w:r>
        <w:rPr/>
        <w:t xml:space="preserve">عبد الوهاب الضبي ومنهم عبد الوهاب بن المنذر الضبي، فقيه عابد صوام قوام كان له كل يوم ختمة، كان هذا دأبه إلى أن مات، روى عن معتمر بن سليمان سمعت أبي يقول: حكي لي عنه أنه قال: لكل شيء أول، وأول الخير الاستغفار، قال تعالى: </w:t>
      </w:r>
    </w:p>
    <w:p>
      <w:pPr/>
      <w:r>
        <w:rPr>
          <w:color w:val="0000ff"/>
        </w:rPr>
        <w:t xml:space="preserve">{استغفروا ربكم إنه كان غفارا}</w:t>
      </w:r>
    </w:p>
    <w:p>
      <w:pPr/>
      <w:r>
        <w:rPr/>
        <w:t xml:space="preserve"> [نوح: 10]، يعني لا يزال يغفر للمستغفرين</w:t>
      </w:r>
    </w:p>
    <w:p>
      <w:pPr>
        <w:jc w:val="start"/>
        <w:bidi/>
      </w:pPr>
      <w:r>
        <w:rPr>
          <w:sz w:val="24"/>
          <w:szCs w:val="24"/>
          <w:b w:val="1"/>
          <w:bCs w:val="1"/>
          <w:rtl/>
        </w:rPr>
        <w:t xml:space="preserve">
حلية الأولياء وطبقات الأصفياء،(دار الكتاب العربي - بيروت،1985،ط 0،ج 10،ص 393)/(السعادة ،1974،ط 1،ج 10،ص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2026-07-28T03:52:16+03:00</dcterms:created>
  <dcterms:modified xsi:type="dcterms:W3CDTF">2026-07-28T03:52:16+03:00</dcterms:modified>
</cp:coreProperties>
</file>

<file path=docProps/custom.xml><?xml version="1.0" encoding="utf-8"?>
<Properties xmlns="http://schemas.openxmlformats.org/officeDocument/2006/custom-properties" xmlns:vt="http://schemas.openxmlformats.org/officeDocument/2006/docPropsVTypes"/>
</file>