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القرشي
</w:t>
      </w:r>
    </w:p>
    <w:p>
      <w:pPr/>
      <w:r>
        <w:rPr/>
        <w:t xml:space="preserve">أبو سعيد القرشي ومنهم أبو سعيد القرشي، كان بالعلل والآفات عارفا وعنها ناهيا وواقفا</w:t>
      </w:r>
    </w:p>
    <w:p/>
    <w:p>
      <w:pPr/>
      <w:r>
        <w:rPr/>
        <w:t xml:space="preserve">أخبرنا أبو الفرج بن بكر قال: سمعت همام بن الحارث، يقول: سمعت أبا سعيد القرشي، يقول: «قلوب أهل الهوى سجون أهل البلاء فإذا أراد الله أن يعذب البلاء حبسه في قلوب أهل الهوى، فيضج إلى الله بالاستغاثة والخروج منها من حر أجواف أهل الهوى»</w:t>
      </w:r>
    </w:p>
    <w:p/>
    <w:p>
      <w:pPr/>
      <w:r>
        <w:rPr/>
        <w:t xml:space="preserve">قال: وسمعت أبا سعيد، يقول: ’’الحرص موصول بالطمع والطمع موصول بالأمل والأمل موصول بالشهوة والشهوة موصولة بالشبهة والشبهة موصولة بالحرام والحرام موصول بالنار قال تعالى: </w:t>
      </w:r>
    </w:p>
    <w:p>
      <w:pPr/>
      <w:r>
        <w:rPr>
          <w:color w:val="0000ff"/>
        </w:rPr>
        <w:t xml:space="preserve">{واتقوا النار التي أعدت للكافرين}</w:t>
      </w:r>
    </w:p>
    <w:p>
      <w:pPr/>
      <w:r>
        <w:rPr/>
        <w:t xml:space="preserve"> [آل عمران: 131]’’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342)/(السعادة ،1974،ط 1،ج 10،ص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2026-07-28T23:39:14+03:00</dcterms:created>
  <dcterms:modified xsi:type="dcterms:W3CDTF">2026-07-28T23:39:14+03:00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