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زكي الدين
</w:t>
      </w:r>
    </w:p>
    <w:p>
      <w:pPr>
        <w:jc w:val="start"/>
        <w:bidi/>
      </w:pPr>
      <w:r>
        <w:rPr>
          <w:rFonts w:ascii="arial" w:hAnsi="arial" w:eastAsia="arial" w:cs="arial"/>
          <w:sz w:val="28"/>
          <w:szCs w:val="28"/>
          <w:b w:val="1"/>
          <w:bCs w:val="1"/>
          <w:rtl/>
        </w:rPr>
        <w:t xml:space="preserve">ابن زكي الدين
</w:t>
      </w:r>
    </w:p>
    <w:p>
      <w:pPr/>
      <w:r>
        <w:rPr/>
        <w:t xml:space="preserve">ابن زكي الدين  محمد بن علي بن محمد، المعروف بابن زكي الدين الدمشقي: فقيه خطيب اديب، حسن النشاء، يتصل نسبه بعثمان بن عفان. كانت له عند السلطان صلا الدين منزلة رفيعة. ولما ملك السلطان حلب فوض اليه الحكم والقضاء فيها (سنة 579) ثم ولي قضاء دمشق سنة 588 ومولده ووفاته بها. </w:t>
      </w:r>
    </w:p>
    <w:p>
      <w:pPr>
        <w:jc w:val="start"/>
        <w:bidi/>
      </w:pPr>
      <w:r>
        <w:rPr>
          <w:sz w:val="24"/>
          <w:szCs w:val="24"/>
          <w:b w:val="1"/>
          <w:bCs w:val="1"/>
          <w:rtl/>
        </w:rPr>
        <w:t xml:space="preserve">
الأعلام،(دار العلم للملايين - بيروت،2002،ط 15،ج 6،ص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2026-10-05T05:04:11+03:00</dcterms:created>
  <dcterms:modified xsi:type="dcterms:W3CDTF">2026-10-05T05:04:11+03:00</dcterms:modified>
</cp:coreProperties>
</file>

<file path=docProps/custom.xml><?xml version="1.0" encoding="utf-8"?>
<Properties xmlns="http://schemas.openxmlformats.org/officeDocument/2006/custom-properties" xmlns:vt="http://schemas.openxmlformats.org/officeDocument/2006/docPropsVTypes"/>
</file>