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زريق الحداد
</w:t>
      </w:r>
    </w:p>
    <w:p>
      <w:pPr>
        <w:jc w:val="start"/>
        <w:bidi/>
      </w:pPr>
      <w:r>
        <w:rPr>
          <w:rFonts w:ascii="arial" w:hAnsi="arial" w:eastAsia="arial" w:cs="arial"/>
          <w:sz w:val="28"/>
          <w:szCs w:val="28"/>
          <w:b w:val="1"/>
          <w:bCs w:val="1"/>
          <w:rtl/>
        </w:rPr>
        <w:t xml:space="preserve">ابن زريق الحداد
</w:t>
      </w:r>
    </w:p>
    <w:p>
      <w:pPr/>
      <w:r>
        <w:rPr/>
        <w:t xml:space="preserve">ابن زريق الحداد الإمام، شيخ المقرئين، أبو جعفر، المبارك بن الإمام أبي الفتح المبارك بن أحمد بن زريق، الواسطي، ابن الحداد، إمام جامع واسط بعد والده.</w:t>
      </w:r>
    </w:p>
    <w:p/>
    <w:p>
      <w:pPr/>
      <w:r>
        <w:rPr/>
        <w:t xml:space="preserve">مولده سنة تسع وخمس مائة.</w:t>
      </w:r>
    </w:p>
    <w:p/>
    <w:p>
      <w:pPr/>
      <w:r>
        <w:rPr/>
        <w:t xml:space="preserve">تلا على أبيه، ومهر، ثم سافر معه إلى بغداد في سنة532، فقرأ بها بالمبهج وغيره على أبي محمد سبط الخياط.</w:t>
      </w:r>
    </w:p>
    <w:p/>
    <w:p>
      <w:pPr/>
      <w:r>
        <w:rPr/>
        <w:t xml:space="preserve">وسمع من: قاضي المارستان، وإسماعيل بن السمرقندي، وطائفة، وبواسط من علي بن علي بن شيران، والقاضي أبي علي الفارقي، وجماعة، وتفرد عن ابن شيران الفارقي، وتفرد بإجازة خميس الحوزي، وأبي الحسين محمد بن غلام الهراس أبي علي، ورزين بن معاوية العبدري، وأجاز له أيضا أبو طالب بن يوسف، وعبد الله بن السمرقندي.</w:t>
      </w:r>
    </w:p>
    <w:p/>
    <w:p>
      <w:pPr/>
      <w:r>
        <w:rPr/>
        <w:t xml:space="preserve">حدث عنه: محمد بن النفيس بن منجب، ويوسف بن خليل، وإبراهيم بن محاسن، وابن الدبيثي وآخرون.</w:t>
      </w:r>
    </w:p>
    <w:p/>
    <w:p>
      <w:pPr/>
      <w:r>
        <w:rPr/>
        <w:t xml:space="preserve">وتلا عليه بالروايات: الشريف محمد بن عمر الداعي، وغيره.</w:t>
      </w:r>
    </w:p>
    <w:p/>
    <w:p>
      <w:pPr/>
      <w:r>
        <w:rPr/>
        <w:t xml:space="preserve">قال ابن النجار: كان من أعيان القراء الموصوفين بجودة القراءة، وحسن الأداء، وطيب الصوت، وكان بقية الأكابر، وهو صدوق متدين.</w:t>
      </w:r>
    </w:p>
    <w:p/>
    <w:p>
      <w:pPr/>
      <w:r>
        <w:rPr/>
        <w:t xml:space="preserve">مات في رمضان سنة ست وتسعين وخمس مائة.</w:t>
      </w:r>
    </w:p>
    <w:p/>
    <w:p>
      <w:pPr/>
      <w:r>
        <w:rPr/>
        <w:t xml:space="preserve">وزريق أوله زاي.</w:t>
      </w:r>
    </w:p>
    <w:p>
      <w:pPr>
        <w:jc w:val="start"/>
        <w:bidi/>
      </w:pPr>
      <w:r>
        <w:rPr>
          <w:sz w:val="24"/>
          <w:szCs w:val="24"/>
          <w:b w:val="1"/>
          <w:bCs w:val="1"/>
          <w:rtl/>
        </w:rPr>
        <w:t xml:space="preserve">
سير أعلام النبلاء،(دار الحديث- القاهرة،2006،ط 0،ج 15،ص 437)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2026-07-29T20:25:41+03:00</dcterms:created>
  <dcterms:modified xsi:type="dcterms:W3CDTF">2026-07-29T20:25:41+03:00</dcterms:modified>
</cp:coreProperties>
</file>

<file path=docProps/custom.xml><?xml version="1.0" encoding="utf-8"?>
<Properties xmlns="http://schemas.openxmlformats.org/officeDocument/2006/custom-properties" xmlns:vt="http://schemas.openxmlformats.org/officeDocument/2006/docPropsVTypes"/>
</file>