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الكاغدي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الكاغدي
</w:t>
      </w:r>
    </w:p>
    <w:p>
      <w:pPr/>
      <w:r>
        <w:rPr/>
        <w:t xml:space="preserve">الكاغدي القاضي الإمام المعمر، الخطيب، أبو الفضائل، عبد الرحيم بن محمد بن عبد الواحد بن أحمد، الأصبهاني، الكاغدي، المعدل.</w:t>
      </w:r>
    </w:p>
    <w:p/>
    <w:p>
      <w:pPr/>
      <w:r>
        <w:rPr/>
        <w:t xml:space="preserve">ولد في سنة إحدى وخمس مائة.</w:t>
      </w:r>
    </w:p>
    <w:p/>
    <w:p>
      <w:pPr/>
      <w:r>
        <w:rPr/>
        <w:t xml:space="preserve">سمع أبا علي الحداد، ومحمد بن عبد الواحد الدقاق، وإسماعيل الإخشيذ، وفاطمة الجوزدانية.</w:t>
      </w:r>
    </w:p>
    <w:p/>
    <w:p>
      <w:pPr/>
      <w:r>
        <w:rPr/>
        <w:t xml:space="preserve">حدث عنه: يوسف بن خليل، وهو أحد العشرة الذين أدركهم من أصحاب الحداد.</w:t>
      </w:r>
    </w:p>
    <w:p/>
    <w:p>
      <w:pPr/>
      <w:r>
        <w:rPr/>
        <w:t xml:space="preserve">أجاز لشيخنا أحمد بن سلامة.</w:t>
      </w:r>
    </w:p>
    <w:p/>
    <w:p>
      <w:pPr/>
      <w:r>
        <w:rPr/>
        <w:t xml:space="preserve">وتوفي في ذي القعدة سنة أربع وتسعين.</w:t>
      </w:r>
    </w:p>
    <w:p/>
    <w:p>
      <w:pPr/>
      <w:r>
        <w:rPr/>
        <w:t xml:space="preserve">وفيها مات أبو طاهر علي بن سعيد بن فاذشاه بأصبهان، وهو أحد العشرة.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الفضائل عبد الرحيم بن محمد بن عبد الواحد الأصبهاني الكاغدي الخطيب
</w:t>
      </w:r>
    </w:p>
    <w:p>
      <w:pPr/>
      <w:r>
        <w:rPr/>
        <w:t xml:space="preserve">وأبو الفضائل عبد الرحيم بن محمد بن عبد الواحد الأصبهاني الكاغدي الخطيب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2026-07-27T17:04:39+03:00</dcterms:created>
  <dcterms:modified xsi:type="dcterms:W3CDTF">2026-07-27T17:04:39+03:00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