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الأنبردواني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الأنبردواني
</w:t>
      </w:r>
    </w:p>
    <w:p>
      <w:pPr/>
      <w:r>
        <w:rPr/>
        <w:t xml:space="preserve">الأنبردواني  أحمد بن محمد بن علي، أبو كامل، ابن نصير الانبردواني: فاضل، من فقهاء الحنفية. نسبته إلى ’’ انبردوان’’ من قرى بخارى. كان شديد التعصب للحنفية، متحاملا على الشافعية. له (المضاهاة والمضافات في الاسماء والانساب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الأنبردواني
</w:t>
      </w:r>
    </w:p>
    <w:p>
      <w:pPr/>
      <w:r>
        <w:rPr/>
        <w:t xml:space="preserve">الأنبردواني </w:t>
      </w:r>
    </w:p>
    <w:p/>
    <w:p>
      <w:pPr/>
      <w:r>
        <w:rPr/>
        <w:t xml:space="preserve">أبو كامل أحمد بن محمد بن علي بن محمد بن بصير البصري الأنبردواني من قرى بخاري الحنفي. م سنة 449 هـ رحمه الله تعالى. له: المضاهات والمضافات في الأسماء والأنساب.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2026-09-18T14:04:41+03:00</dcterms:created>
  <dcterms:modified xsi:type="dcterms:W3CDTF">2026-09-18T14:04:41+03:00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