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بن أبي منصور ، جلال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ابنه جلال الدين علي
</w:t>
      </w:r>
    </w:p>
    <w:p>
      <w:pPr/>
      <w:r>
        <w:rPr/>
        <w:t xml:space="preserve">ابنه جلال الدين علي وكان ابنه جلال علي أحد البلغاء، دونت رسائله، وعنه أخذ مجد الدين المبارك بن الأثير.</w:t>
      </w:r>
    </w:p>
    <w:p/>
    <w:p>
      <w:pPr/>
      <w:r>
        <w:rPr/>
        <w:t xml:space="preserve">توفي سنة أربع وسبعين وخمس مائة، وقد وزر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2026-07-28T14:26:50+03:00</dcterms:created>
  <dcterms:modified xsi:type="dcterms:W3CDTF">2026-07-28T14:26:50+03:00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