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أقصبي
</w:t>
      </w:r>
    </w:p>
    <w:p>
      <w:pPr>
        <w:jc w:val="start"/>
        <w:bidi/>
      </w:pPr>
      <w:r>
        <w:rPr>
          <w:rFonts w:ascii="arial" w:hAnsi="arial" w:eastAsia="arial" w:cs="arial"/>
          <w:sz w:val="28"/>
          <w:szCs w:val="28"/>
          <w:b w:val="1"/>
          <w:bCs w:val="1"/>
          <w:rtl/>
        </w:rPr>
        <w:t xml:space="preserve">أقصبي
</w:t>
      </w:r>
    </w:p>
    <w:p>
      <w:pPr/>
      <w:r>
        <w:rPr/>
        <w:t xml:space="preserve">أقصبي  محمد بن عبد المجيد أقصبي : عارف بالتوقيت والتاريخ والحساب والنحو. من أهل فاس بالمغرب كان مدرسا لاولاد السلطان. ودرس بثانوية بفاس. عرفه ابن سودة بشيخنا. وألف كتبا منها (شرح الرسالة الفتحية) في التوقيت، قال ابن سودة : مجلدان، و (النور اللائح) في القراآت، و (حاشية على شرح المنية) في الحساب، و (المنح الوافية) تعليقات على الألفية، و (القواعد النحوية) و (تاريخ ملوك المغرب) قال ابن سودة : في مجلد، و (رسالة في ملوك المغرب) قال أيضا : (خمسة كراريس) و (شرح منظومة في موانع ظهور الاعراب - خ) في خزانة الرباط. توفي بالرباط. </w:t>
      </w:r>
    </w:p>
    <w:p>
      <w:pPr>
        <w:jc w:val="start"/>
        <w:bidi/>
      </w:pPr>
      <w:r>
        <w:rPr>
          <w:sz w:val="24"/>
          <w:szCs w:val="24"/>
          <w:b w:val="1"/>
          <w:bCs w:val="1"/>
          <w:rtl/>
        </w:rPr>
        <w:t xml:space="preserve">
الأعلام،(دار العلم للملايين - بيروت،2002،ط 15،ج 6،ص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2026-10-05T00:05:36+03:00</dcterms:created>
  <dcterms:modified xsi:type="dcterms:W3CDTF">2026-10-05T00:05:36+03:00</dcterms:modified>
</cp:coreProperties>
</file>

<file path=docProps/custom.xml><?xml version="1.0" encoding="utf-8"?>
<Properties xmlns="http://schemas.openxmlformats.org/officeDocument/2006/custom-properties" xmlns:vt="http://schemas.openxmlformats.org/officeDocument/2006/docPropsVTypes"/>
</file>