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الريمي
</w:t>
      </w:r>
    </w:p>
    <w:p>
      <w:pPr>
        <w:jc w:val="start"/>
        <w:bidi/>
      </w:pPr>
      <w:r>
        <w:rPr>
          <w:rFonts w:ascii="arial" w:hAnsi="arial" w:eastAsia="arial" w:cs="arial"/>
          <w:sz w:val="28"/>
          <w:szCs w:val="28"/>
          <w:b w:val="1"/>
          <w:bCs w:val="1"/>
          <w:rtl/>
        </w:rPr>
        <w:t xml:space="preserve">الريمي
</w:t>
      </w:r>
    </w:p>
    <w:p>
      <w:pPr/>
      <w:r>
        <w:rPr/>
        <w:t xml:space="preserve">الريمي  محمد بن عبد الله الحثيثي الصردفي الريمي، جمال الدين: من كبار الشافعية في اليمن. نسبه إلى ناحية (ريمة) كان مقدما عند الملوك. وتولى قضاء الاقضية في زبيد، ايام الملك الاشرف. وتوفي وهو قاض بها. له كتب، منها (التفقيه في شرح التنبيه) اربعة وعشرون مجلدا، وبغية الناسك) في المناسك. </w:t>
      </w:r>
    </w:p>
    <w:p>
      <w:pPr>
        <w:jc w:val="start"/>
        <w:bidi/>
      </w:pPr>
      <w:r>
        <w:rPr>
          <w:sz w:val="24"/>
          <w:szCs w:val="24"/>
          <w:b w:val="1"/>
          <w:bCs w:val="1"/>
          <w:rtl/>
        </w:rPr>
        <w:t xml:space="preserve">
الأعلام،(دار العلم للملايين - بيروت،2002،ط 15،ج 6،ص 236)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2026-10-04T22:01:38+03:00</dcterms:created>
  <dcterms:modified xsi:type="dcterms:W3CDTF">2026-10-04T22:01:38+03:00</dcterms:modified>
</cp:coreProperties>
</file>

<file path=docProps/custom.xml><?xml version="1.0" encoding="utf-8"?>
<Properties xmlns="http://schemas.openxmlformats.org/officeDocument/2006/custom-properties" xmlns:vt="http://schemas.openxmlformats.org/officeDocument/2006/docPropsVTypes"/>
</file>