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w:t>
      </w:r>
    </w:p>
    <w:p>
      <w:pPr>
        <w:jc w:val="start"/>
        <w:bidi/>
      </w:pPr>
      <w:r>
        <w:rPr>
          <w:rFonts w:ascii="arial" w:hAnsi="arial" w:eastAsia="arial" w:cs="arial"/>
          <w:sz w:val="28"/>
          <w:szCs w:val="28"/>
          <w:b w:val="1"/>
          <w:bCs w:val="1"/>
          <w:rtl/>
        </w:rPr>
        <w:t xml:space="preserve">ابن ميمون
</w:t>
      </w:r>
    </w:p>
    <w:p>
      <w:pPr/>
      <w:r>
        <w:rPr/>
        <w:t xml:space="preserve">ابن ميمون  محمد بن عبد الله بن ميمون العبدري القرطبي، ابو بكر: عالم بالقراآت والادب، شاعر، من بلغاء الكتاب. اصل من قرطبة. رج منها في ايام الفتنة، واستوطن مراكش. ومات فيها وقد قارب السبعين. من كتبه (شرح المفامات الحريرية) و (شرح ابيات الايضاح للفارسي) و (مشاحذ الافكار فيما اخذ على النظار) و (شرح الجمل). </w:t>
      </w:r>
    </w:p>
    <w:p>
      <w:pPr>
        <w:jc w:val="start"/>
        <w:bidi/>
      </w:pPr>
      <w:r>
        <w:rPr>
          <w:sz w:val="24"/>
          <w:szCs w:val="24"/>
          <w:b w:val="1"/>
          <w:bCs w:val="1"/>
          <w:rtl/>
        </w:rPr>
        <w:t xml:space="preserve">
الأعلام،(دار العلم للملايين - بيروت،2002،ط 15،ج 6،ص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العبدري يكنى أبا بكر
</w:t>
      </w:r>
    </w:p>
    <w:p>
      <w:pPr/>
      <w:r>
        <w:rPr/>
        <w:t xml:space="preserve">محمد بن عبد الله بن ميمون العبدري يكنى أبا بكر كان عالما بالقراءات ذاكرا للتفسير حافظا للفقه واللغات والآداب شاعرا محسنا مبرزا في النحو وصنف في غير فن من العلم وكلامه - نظما ونثرا كثير مدون.</w:t>
      </w:r>
    </w:p>
    <w:p/>
    <w:p>
      <w:pPr/>
      <w:r>
        <w:rPr/>
        <w:t xml:space="preserve">روي عن أبي بكر بن العربي وأبي الحسن بن شريح وعبد الرحمن بن بقي وابن الباذش ويونس بن مغيث وأبي عبد الله بن الحاج وأبي محمد بن عتاب وأبي الوليد بن رشد ولازمه عشرين سنة وسمع أبا بحر الأسدي وغيرهم وصنف: مشاحذ الأفكار في مآخذ النظار وشرحيه الكبير والصغير على جمل الزجاجي وشرح أبيات الإيضاح للصفدي ومقامات الحريري وشرح معشراته الغزلية ومكفراته الزهدية إلى غير ذلك.</w:t>
      </w:r>
    </w:p>
    <w:p/>
    <w:p>
      <w:pPr/>
      <w:r>
        <w:rPr/>
        <w:t xml:space="preserve">ومن شعره:</w:t>
      </w:r>
    </w:p>
    <w:p/>
    <w:p>
      <w:pPr>
        <w:jc w:val="center"/>
      </w:pPr>
      <w:r>
        <w:rPr>
          <w:color w:val="ff0000"/>
        </w:rPr>
        <w:t xml:space="preserve">توسلت يا ربي بأني مؤمن </w:t>
      </w:r>
      <w:r>
        <w:rPr>
          <w:color w:val="ff0000"/>
        </w:rPr>
        <w:t xml:space="preserve">      </w:t>
      </w:r>
      <w:r>
        <w:rPr>
          <w:color w:val="ff0000"/>
        </w:rPr>
        <w:t xml:space="preserve"> وما قلت إني سامع ومطيع</w:t>
      </w:r>
    </w:p>
    <w:p/>
    <w:p>
      <w:pPr>
        <w:jc w:val="center"/>
      </w:pPr>
      <w:r>
        <w:rPr>
          <w:color w:val="ff0000"/>
        </w:rPr>
        <w:t xml:space="preserve">أيصلى بحر النار عاص موحد </w:t>
      </w:r>
      <w:r>
        <w:rPr>
          <w:color w:val="ff0000"/>
        </w:rPr>
        <w:t xml:space="preserve">      </w:t>
      </w:r>
      <w:r>
        <w:rPr>
          <w:color w:val="ff0000"/>
        </w:rPr>
        <w:t xml:space="preserve"> وأنت كريم والرسول شفيع</w:t>
      </w:r>
    </w:p>
    <w:p/>
    <w:p>
      <w:pPr/>
      <w:r>
        <w:rPr/>
        <w:t xml:space="preserve">وله أيضا:</w:t>
      </w:r>
    </w:p>
    <w:p/>
    <w:p>
      <w:pPr>
        <w:jc w:val="center"/>
      </w:pPr>
      <w:r>
        <w:rPr>
          <w:color w:val="ff0000"/>
        </w:rPr>
        <w:t xml:space="preserve">لا تكترث بفراق أوطان الصبا </w:t>
      </w:r>
      <w:r>
        <w:rPr>
          <w:color w:val="ff0000"/>
        </w:rPr>
        <w:t xml:space="preserve">      </w:t>
      </w:r>
      <w:r>
        <w:rPr>
          <w:color w:val="ff0000"/>
        </w:rPr>
        <w:t xml:space="preserve"> فعسى تنال بغيرهن سعودا</w:t>
      </w:r>
    </w:p>
    <w:p/>
    <w:p>
      <w:pPr>
        <w:jc w:val="center"/>
      </w:pPr>
      <w:r>
        <w:rPr>
          <w:color w:val="ff0000"/>
        </w:rPr>
        <w:t xml:space="preserve">فالدر ينظم عند فقد بحاره </w:t>
      </w:r>
      <w:r>
        <w:rPr>
          <w:color w:val="ff0000"/>
        </w:rPr>
        <w:t xml:space="preserve">      </w:t>
      </w:r>
      <w:r>
        <w:rPr>
          <w:color w:val="ff0000"/>
        </w:rPr>
        <w:t xml:space="preserve"> بجميل أجياد الحسان عقودا</w:t>
      </w:r>
    </w:p>
    <w:p/>
    <w:p>
      <w:pPr/>
      <w:r>
        <w:rPr/>
        <w:t xml:space="preserve">توفي سنة سبع وستين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بن إدريس بن محمد العبدري يكنى أبا بكر
</w:t>
      </w:r>
    </w:p>
    <w:p>
      <w:pPr/>
      <w:r>
        <w:rPr/>
        <w:t xml:space="preserve">محمد بن عبد الله بن ميمون بن إدريس بن محمد العبدري يكنى أبا بكر كان عالما بالقراءات، ذاكرا للتفسير، حافظا للفقه واللغات والآداب، شاعرا محسنا، كاتبا بليغا، مبرزا في النحو، جميل العشرة، حسن الخلق، متواضعا، فكه المحاضرة، ظريف الدعابة. روى عن أبي بكر بن العربي، وأبي الحسن شريح، وعبد الرحمن بن بقي، وأبي الحسن بن الباذش، وأبي الوليد بن رشد، ولازمه عشر سنين، ويونس ابن مغيث، وأبي عبد الله بن الحاج، وأبي محمد بن عتاب، وسمع أبا بحر الأسدي وغيرهم.</w:t>
      </w:r>
    </w:p>
    <w:p/>
    <w:p>
      <w:pPr/>
      <w:r>
        <w:rPr/>
        <w:t xml:space="preserve">روى عنه أبو البقاء يعيش بن القديم، وأبو زكريا المرجيقي وغيرهما.</w:t>
      </w:r>
    </w:p>
    <w:p/>
    <w:p>
      <w:pPr/>
      <w:r>
        <w:rPr/>
        <w:t xml:space="preserve">ودخل غرناطة. وصنف شرحين على «الجمل»: كبيرا، وصغيرا، وشرح أبيات «الإيضاح» للفارسي، وشرح «مقامات الحريري»، وصنف «مشاحذ الأفكار فيما أخذ على النظار»، وشرح «معشراته الغزلية» و «مكفراته الزهدية»، وغير ذلك.</w:t>
      </w:r>
    </w:p>
    <w:p/>
    <w:p>
      <w:pPr/>
      <w:r>
        <w:rPr/>
        <w:t xml:space="preserve">وكان يحضر مجلس عبد المؤمن مع جملة العلماء، ويبدي ما عنده من المعارف؛ إلى أن أنشد في المجلس أبياتا كان نظمها في أبي القاسم عبد المنعم بن محمد بن تيسيت، وهي:</w:t>
      </w:r>
    </w:p>
    <w:p/>
    <w:p>
      <w:pPr>
        <w:jc w:val="center"/>
      </w:pPr>
      <w:r>
        <w:rPr>
          <w:color w:val="ff0000"/>
        </w:rPr>
        <w:t xml:space="preserve">أبا قاسم والهوى جنة</w:t>
      </w:r>
      <w:r>
        <w:rPr>
          <w:color w:val="ff0000"/>
        </w:rPr>
        <w:t xml:space="preserve">      </w:t>
      </w:r>
      <w:r>
        <w:rPr>
          <w:color w:val="ff0000"/>
        </w:rPr>
        <w:t xml:space="preserve"> وها أنا من مسها لم أقق</w:t>
      </w:r>
    </w:p>
    <w:p/>
    <w:p>
      <w:pPr>
        <w:jc w:val="center"/>
      </w:pPr>
      <w:r>
        <w:rPr>
          <w:color w:val="ff0000"/>
        </w:rPr>
        <w:t xml:space="preserve">تقحمت جاحم نار الضلوع</w:t>
      </w:r>
      <w:r>
        <w:rPr>
          <w:color w:val="ff0000"/>
        </w:rPr>
        <w:t xml:space="preserve">      </w:t>
      </w:r>
      <w:r>
        <w:rPr>
          <w:color w:val="ff0000"/>
        </w:rPr>
        <w:t xml:space="preserve"> كما خضت بحر دموع الحدق</w:t>
      </w:r>
    </w:p>
    <w:p/>
    <w:p>
      <w:pPr/>
      <w:r>
        <w:rPr/>
        <w:t xml:space="preserve">أكنت الخليل، أكنت الكليم! * أمنت الحريق، أمنت الغرق! فهجره عبد المؤمن، ومنعه من الحضور في مجلسه، وصرف بنيه عن القراءة عليه، وسرى ذلك في أكثر من كان يتردد عليه؛ على أنه كان في المرتبة العليا من الطهارة والعفاف. مات بمراكش يوم الثلاثاء لاثنتي عشرة ليلة بقيت من جمادى الآخرة سنة سبع وستين وخمسمائة وقد قارب السبعين.</w:t>
      </w:r>
    </w:p>
    <w:p/>
    <w:p>
      <w:pPr/>
      <w:r>
        <w:rPr/>
        <w:t xml:space="preserve">ومن شعره:</w:t>
      </w:r>
    </w:p>
    <w:p/>
    <w:p>
      <w:pPr>
        <w:jc w:val="center"/>
      </w:pPr>
      <w:r>
        <w:rPr>
          <w:color w:val="ff0000"/>
        </w:rPr>
        <w:t xml:space="preserve">توسلت يا ربي بأني مؤمن</w:t>
      </w:r>
      <w:r>
        <w:rPr>
          <w:color w:val="ff0000"/>
        </w:rPr>
        <w:t xml:space="preserve">      </w:t>
      </w:r>
      <w:r>
        <w:rPr>
          <w:color w:val="ff0000"/>
        </w:rPr>
        <w:t xml:space="preserve"> وما قلت إني سامع ومطيع </w:t>
      </w:r>
    </w:p>
    <w:p/>
    <w:p>
      <w:pPr>
        <w:jc w:val="center"/>
      </w:pPr>
      <w:r>
        <w:rPr>
          <w:color w:val="ff0000"/>
        </w:rPr>
        <w:t xml:space="preserve">أيصلى بحر النار عاص موحد</w:t>
      </w:r>
      <w:r>
        <w:rPr>
          <w:color w:val="ff0000"/>
        </w:rPr>
        <w:t xml:space="preserve">      </w:t>
      </w:r>
      <w:r>
        <w:rPr>
          <w:color w:val="ff0000"/>
        </w:rPr>
        <w:t xml:space="preserve"> وأنت كريم والرسول شفيع</w:t>
      </w:r>
    </w:p>
    <w:p/>
    <w:p>
      <w:pPr/>
      <w:r>
        <w:rPr/>
        <w:t xml:space="preserve">وله أيضا</w:t>
      </w:r>
    </w:p>
    <w:p/>
    <w:p>
      <w:pPr>
        <w:jc w:val="center"/>
      </w:pPr>
      <w:r>
        <w:rPr>
          <w:color w:val="ff0000"/>
        </w:rPr>
        <w:t xml:space="preserve">لا تكترث بفراق أوطان الصبا</w:t>
      </w:r>
      <w:r>
        <w:rPr>
          <w:color w:val="ff0000"/>
        </w:rPr>
        <w:t xml:space="preserve">      </w:t>
      </w:r>
      <w:r>
        <w:rPr>
          <w:color w:val="ff0000"/>
        </w:rPr>
        <w:t xml:space="preserve"> فعسى تنال بغيرهن سعودا </w:t>
      </w:r>
    </w:p>
    <w:p/>
    <w:p>
      <w:pPr>
        <w:jc w:val="center"/>
      </w:pPr>
      <w:r>
        <w:rPr>
          <w:color w:val="ff0000"/>
        </w:rPr>
        <w:t xml:space="preserve">فالدر ينظم عند فقد بحاره</w:t>
      </w:r>
      <w:r>
        <w:rPr>
          <w:color w:val="ff0000"/>
        </w:rPr>
        <w:t xml:space="preserve">      </w:t>
      </w:r>
      <w:r>
        <w:rPr>
          <w:color w:val="ff0000"/>
        </w:rPr>
        <w:t xml:space="preserve"> بجميل أجياد الحسان عقودا</w:t>
      </w:r>
    </w:p>
    <w:p/>
    <w:p>
      <w:pPr/>
      <w:r>
        <w:rPr/>
        <w:t xml:space="preserve">أورده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بن إدريس العبدري، النحوي، القرطبي
</w:t>
      </w:r>
    </w:p>
    <w:p>
      <w:pPr/>
      <w:r>
        <w:rPr/>
        <w:t xml:space="preserve">محمد بن عبد الله بن ميمون بن إدريس العبدري، النحوي، القرطبي </w:t>
      </w:r>
    </w:p>
    <w:p/>
    <w:p>
      <w:pPr/>
      <w:r>
        <w:rPr/>
        <w:t xml:space="preserve">مقدم في علم اللسان. أخذ عن الجلة كابن عتاب وابن راشد وابن العربي وابن معمر وشريح وابن أخت غانم وغيرهم. شرحه للجمل في عدة مجلدات، استعمله الناس، ومعشرات في الغزل، وشرحها في سفر ضخم.</w:t>
      </w:r>
    </w:p>
    <w:p>
      <w:pPr>
        <w:jc w:val="start"/>
        <w:bidi/>
      </w:pPr>
      <w:r>
        <w:rPr>
          <w:sz w:val="24"/>
          <w:szCs w:val="24"/>
          <w:b w:val="1"/>
          <w:bCs w:val="1"/>
          <w:rtl/>
        </w:rPr>
        <w:t xml:space="preserve">
البلغة فى تراجم أئمة النحو واللغة،(جمعية إحياء التراث الإسلامي - الكويت،1986،ط 1،ج 1،ص 65)/(دار سعد الدين للطباعة والنشر والتوزيع،2000،ط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2026-10-04T21:19:49+03:00</dcterms:created>
  <dcterms:modified xsi:type="dcterms:W3CDTF">2026-10-04T21:19:49+03:00</dcterms:modified>
</cp:coreProperties>
</file>

<file path=docProps/custom.xml><?xml version="1.0" encoding="utf-8"?>
<Properties xmlns="http://schemas.openxmlformats.org/officeDocument/2006/custom-properties" xmlns:vt="http://schemas.openxmlformats.org/officeDocument/2006/docPropsVTypes"/>
</file>