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الأرغياني
</w:t>
      </w:r>
    </w:p>
    <w:p>
      <w:pPr>
        <w:jc w:val="start"/>
        <w:bidi/>
      </w:pPr>
      <w:r>
        <w:rPr>
          <w:rFonts w:ascii="arial" w:hAnsi="arial" w:eastAsia="arial" w:cs="arial"/>
          <w:sz w:val="28"/>
          <w:szCs w:val="28"/>
          <w:b w:val="1"/>
          <w:bCs w:val="1"/>
          <w:rtl/>
        </w:rPr>
        <w:t xml:space="preserve">الأرغياني
</w:t>
      </w:r>
    </w:p>
    <w:p>
      <w:pPr/>
      <w:r>
        <w:rPr/>
        <w:t xml:space="preserve">الأرغياني  محمد بن عبد الله بن أحمد الارغياني، ابو نصر: فقيه شافعي. من أهل ارغيان (من نواحي نيسابور) انتقل إلى نيسابور وتوفي بها. تتلمذ لامام الحرمين، وصنف (الفتاوي) في مجلدين ضخمين، ويقال لها (فتاوي الارغياني) قال الاسنوي: توهم بن خلكان فنسبها إلى ارغياني آخر، ثم تفطن فنبه على وهمه. </w:t>
      </w:r>
    </w:p>
    <w:p>
      <w:pPr>
        <w:jc w:val="start"/>
        <w:bidi/>
      </w:pPr>
      <w:r>
        <w:rPr>
          <w:sz w:val="24"/>
          <w:szCs w:val="24"/>
          <w:b w:val="1"/>
          <w:bCs w:val="1"/>
          <w:rtl/>
        </w:rPr>
        <w:t xml:space="preserve">
الأعلام،(دار العلم للملايين - بيروت،2002،ط 15،ج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النصر الأرغياني الشافعي
</w:t>
      </w:r>
    </w:p>
    <w:p>
      <w:pPr/>
      <w:r>
        <w:rPr/>
        <w:t xml:space="preserve">أبو النصر الأرغياني الشافعي محمد بن عبد الله بن أحمد بن محمد بن عبد الله الأرغياني بفتح الهمزة وسكون الراء وفتح الغين المعجمة والياء آخر الحروف بعدها ألف ونون، الإمام الفقيه الشافعي، قدم من بلدة نيسابور واشتغل على إمام الحرمين وبرع في الفقه وكان ورعا كثير العبادة، سمع من أبي الحسن علي الواحدي صاحب التفسير وروى عنه في تفسير قوله تعالى: </w:t>
      </w:r>
    </w:p>
    <w:p>
      <w:pPr/>
      <w:r>
        <w:rPr>
          <w:color w:val="0000ff"/>
        </w:rPr>
        <w:t xml:space="preserve">{إني لأجد ريح يوسف}</w:t>
      </w:r>
    </w:p>
    <w:p>
      <w:pPr/>
      <w:r>
        <w:rPr/>
        <w:t xml:space="preserve"> أن ريح الصبا استأذنت ربها أن تأتي يعقوب بريح يوسف عليهما السلام قبل أن يأتيه البشير بالقميص فأذن لها فأتته بذلك فلذلك يتروح كل محزون بريح الصبا وهي من ناحية المشرق إذا هبت على الأبدان نعمتها ولينتها وهيجت الأشواق إلى الأوطان والأحباب وأنشد: </w:t>
      </w:r>
    </w:p>
    <w:p/>
    <w:p>
      <w:pPr>
        <w:jc w:val="center"/>
      </w:pPr>
      <w:r>
        <w:rPr>
          <w:color w:val="ff0000"/>
        </w:rPr>
        <w:t xml:space="preserve">أيا جبلي نعمان بالله خليا</w:t>
      </w:r>
      <w:r>
        <w:rPr>
          <w:color w:val="ff0000"/>
        </w:rPr>
        <w:t xml:space="preserve">      </w:t>
      </w:r>
      <w:r>
        <w:rPr>
          <w:color w:val="ff0000"/>
        </w:rPr>
        <w:t xml:space="preserve">نسيم الصبا يخلص إلي نسيمها </w:t>
      </w:r>
    </w:p>
    <w:p/>
    <w:p>
      <w:pPr>
        <w:jc w:val="center"/>
      </w:pPr>
      <w:r>
        <w:rPr>
          <w:color w:val="ff0000"/>
        </w:rPr>
        <w:t xml:space="preserve">فإن الصبا ريح متى ما تنفست</w:t>
      </w:r>
      <w:r>
        <w:rPr>
          <w:color w:val="ff0000"/>
        </w:rPr>
        <w:t xml:space="preserve">      </w:t>
      </w:r>
      <w:r>
        <w:rPr>
          <w:color w:val="ff0000"/>
        </w:rPr>
        <w:t xml:space="preserve">على نفس مهموم تجلت همومها </w:t>
      </w:r>
    </w:p>
    <w:p/>
    <w:p>
      <w:pPr/>
      <w:r>
        <w:rPr/>
        <w:t xml:space="preserve">قلت: الظاهر إن نسيم الصبا يختلف مزاجه وتأثيره باختلاف الأرض والبقاع التي يمر عليها والفصول أيضا فهي في الربيع تكون ألطف منها في غيره لأنا نشاهد في الحسن أن الريح التي تهب بدمشق وغيرها مما يقاربها ريح يابسة المزاج تجفف الرطوبات وتقحل الأجسام وتحرق الثمار والزروع وهي في الديار المصرية أشد منها في الشام وهي التي يسمونها المريسية، وقال الجوهري: الصبا ريح ومهبها المستوى إن تهب من موضع مطلع الشمس إذا استوى الليل والنهار على أن أشعار العرب ملأى من الاسترواح بها ووصفها باللطف وتنفيس الكرب ولعلها في بلاد الحجاز وما أشبهها تكون بهذه الصفة، قال القاضي شمس الدين ابن خلكان: والفتاوى المستخرجة من كتاب نهاية المطلب المنسوبة إلى الأرغياني أشك فيها هل هي له أو لأبي الفتح سهل الأرغياني، وتوفى سنة ثمان وعشرين وخمس ماية انتهى.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الأرغياني
</w:t>
      </w:r>
    </w:p>
    <w:p>
      <w:pPr/>
      <w:r>
        <w:rPr/>
        <w:t xml:space="preserve">أبو نصر الأرغياني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أحمد بن محمد بن عبد الله الأرغياني أبو نصر
</w:t>
      </w:r>
    </w:p>
    <w:p>
      <w:pPr/>
      <w:r>
        <w:rPr/>
        <w:t xml:space="preserve">محمد بن عبد الله بن أحمد بن محمد بن عبد الله الأرغياني أبو نصر ورد نيسابور وتفقه على إمام الحرمين</w:t>
      </w:r>
    </w:p>
    <w:p/>
    <w:p>
      <w:pPr/>
      <w:r>
        <w:rPr/>
        <w:t xml:space="preserve">قال ابن السمعاني وبرع في الفقه وكان إماما متنسكا كثير العبادة حسن السيرة مشتغلا بنفسه</w:t>
      </w:r>
    </w:p>
    <w:p/>
    <w:p>
      <w:pPr/>
      <w:r>
        <w:rPr/>
        <w:t xml:space="preserve">وكان مفتى أصحابنا في وقته</w:t>
      </w:r>
    </w:p>
    <w:p/>
    <w:p>
      <w:pPr/>
      <w:r>
        <w:rPr/>
        <w:t xml:space="preserve">سمع أبا الحسن الواحدي وأبا بكر أحمد بن علي بن خلف الشيرازي وأبا علي بن نبهان الكاتب وخلقا</w:t>
      </w:r>
    </w:p>
    <w:p/>
    <w:p>
      <w:pPr/>
      <w:r>
        <w:rPr/>
        <w:t xml:space="preserve">روى عنه جماعة منهم أبو سعد بن السمعاني بالإجازة</w:t>
      </w:r>
    </w:p>
    <w:p/>
    <w:p>
      <w:pPr/>
      <w:r>
        <w:rPr/>
        <w:t xml:space="preserve">مولده سنة أربع وخمسين وأربعمائة</w:t>
      </w:r>
    </w:p>
    <w:p/>
    <w:p>
      <w:pPr/>
      <w:r>
        <w:rPr/>
        <w:t xml:space="preserve">وتوفي في ذي القعدة سنة ثمان وعشرين وخمسمائة</w:t>
      </w:r>
    </w:p>
    <w:p/>
    <w:p>
      <w:pPr/>
      <w:r>
        <w:rPr/>
        <w:t xml:space="preserve">ودفن بظاهر نيسابور</w:t>
      </w:r>
    </w:p>
    <w:p>
      <w:pPr>
        <w:jc w:val="start"/>
        <w:bidi/>
      </w:pPr>
      <w:r>
        <w:rPr>
          <w:sz w:val="24"/>
          <w:szCs w:val="24"/>
          <w:b w:val="1"/>
          <w:bCs w:val="1"/>
          <w:rtl/>
        </w:rPr>
        <w:t xml:space="preserve">
طبقات الشافعية الكبرى،(دار هجر - القاهرة،1992،ط 2،ج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أبو نصر الإرغياني
</w:t>
      </w:r>
    </w:p>
    <w:p>
      <w:pPr/>
      <w:r>
        <w:rPr/>
        <w:t xml:space="preserve">محمد بن عبد اللَّه أبو نصر الإرغياني </w:t>
      </w:r>
    </w:p>
    <w:p/>
    <w:p>
      <w:pPr/>
      <w:r>
        <w:rPr/>
        <w:t xml:space="preserve">تقدم في الطبقة الخامسة عشر.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2026-07-28T21:57:35+03:00</dcterms:created>
  <dcterms:modified xsi:type="dcterms:W3CDTF">2026-07-28T21:57:35+03:00</dcterms:modified>
</cp:coreProperties>
</file>

<file path=docProps/custom.xml><?xml version="1.0" encoding="utf-8"?>
<Properties xmlns="http://schemas.openxmlformats.org/officeDocument/2006/custom-properties" xmlns:vt="http://schemas.openxmlformats.org/officeDocument/2006/docPropsVTypes"/>
</file>