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الناصحي
</w:t>
      </w:r>
    </w:p>
    <w:p>
      <w:pPr>
        <w:jc w:val="start"/>
        <w:bidi/>
      </w:pPr>
      <w:r>
        <w:rPr>
          <w:rFonts w:ascii="arial" w:hAnsi="arial" w:eastAsia="arial" w:cs="arial"/>
          <w:sz w:val="28"/>
          <w:szCs w:val="28"/>
          <w:b w:val="1"/>
          <w:bCs w:val="1"/>
          <w:rtl/>
        </w:rPr>
        <w:t xml:space="preserve">الناصحي
</w:t>
      </w:r>
    </w:p>
    <w:p>
      <w:pPr/>
      <w:r>
        <w:rPr/>
        <w:t xml:space="preserve">الناصحي  محمد بن عبد الله بن الحسين الناصحي، ابو الحسن: امام الحنفة في وقته. من أهل بيسابور. وي قضاءها في دولة ألب ارسلان وبقي عشر سنين. ومات منصرفا من الحج بقرب اصفهان. وكان يميل إلى الاعتزال. </w:t>
      </w:r>
    </w:p>
    <w:p>
      <w:pPr>
        <w:jc w:val="start"/>
        <w:bidi/>
      </w:pPr>
      <w:r>
        <w:rPr>
          <w:sz w:val="24"/>
          <w:szCs w:val="24"/>
          <w:b w:val="1"/>
          <w:bCs w:val="1"/>
          <w:rtl/>
        </w:rPr>
        <w:t xml:space="preserve">
الأعلام،(دار العلم للملايين - بيروت،2002،ط 15،ج 6،ص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الناصحي
</w:t>
      </w:r>
    </w:p>
    <w:p>
      <w:pPr/>
      <w:r>
        <w:rPr/>
        <w:t xml:space="preserve">الناصحي العلامة، قاضي القضاة، عالم الحنفية، أبو بكر محمد بن عبد الله بن الحسين الناصحي، النيسابوري.</w:t>
      </w:r>
    </w:p>
    <w:p/>
    <w:p>
      <w:pPr/>
      <w:r>
        <w:rPr/>
        <w:t xml:space="preserve">سمع: القاضي أبا بكر الحيري، وأبا سعيد الصيرفي، وطائفة. وحدث ببغداد وخراسان.</w:t>
      </w:r>
    </w:p>
    <w:p/>
    <w:p>
      <w:pPr/>
      <w:r>
        <w:rPr/>
        <w:t xml:space="preserve">روى عنه: محمد بن عبد الواحد الدقاق، وعبد الوهاب بن الأنماطي، وأبو بكر بن الزاغوني، وآخرون.</w:t>
      </w:r>
    </w:p>
    <w:p/>
    <w:p>
      <w:pPr/>
      <w:r>
        <w:rPr/>
        <w:t xml:space="preserve">قال عبد الغافر في ’’تاريخه’’: هو قاضي القضاة أبو بكر ابن إمام الإسلام أبي محمد الناصحي، أفضل أهل عصره في الحنفية، وأعرفهم بالمذهب، وأوجههم في المناظرة، مع حظ وافر من الأدب والشعر والطب، درس بمدرسة السلطان في حياة أبيه، وولي قضاء نيسابور في دولة ألب رسلان، فبقي عشر سنين، ونال من الحشمة والدرجة، وكان فقيه النفس، تكلم في مسائل مع إمام الحرمين، فكان يثني الإمام عليه، ثم شكا قلة تصاونه في قبض يده، ووكلاء مجلسه وأصحابه عن الأموال، وأشرف بعض الحقوق على الضياع من فتح أبواب الرشا، فولي قضاء الري، ثم مات منصرفه من الحج في رجب سنة أربع وثمانين وأربع مائة يقرب أصبهان.</w:t>
      </w:r>
    </w:p>
    <w:p>
      <w:pPr>
        <w:jc w:val="start"/>
        <w:bidi/>
      </w:pPr>
      <w:r>
        <w:rPr>
          <w:sz w:val="24"/>
          <w:szCs w:val="24"/>
          <w:b w:val="1"/>
          <w:bCs w:val="1"/>
          <w:rtl/>
        </w:rPr>
        <w:t xml:space="preserve">
سير أعلام النبلاء،(دار الحديث- القاهرة،2006،ط 1،ج 14،ص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2026-10-04T20:17:37+03:00</dcterms:created>
  <dcterms:modified xsi:type="dcterms:W3CDTF">2026-10-04T20:17:37+03:00</dcterms:modified>
</cp:coreProperties>
</file>

<file path=docProps/custom.xml><?xml version="1.0" encoding="utf-8"?>
<Properties xmlns="http://schemas.openxmlformats.org/officeDocument/2006/custom-properties" xmlns:vt="http://schemas.openxmlformats.org/officeDocument/2006/docPropsVTypes"/>
</file>