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الريحاني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الريحاني
</w:t>
      </w:r>
    </w:p>
    <w:p>
      <w:pPr/>
      <w:r>
        <w:rPr/>
        <w:t xml:space="preserve">الريحاني أبو عبد الله، الحسين بن أحمد البصري الريحاني، نزيل بغداد.</w:t>
      </w:r>
    </w:p>
    <w:p/>
    <w:p>
      <w:pPr/>
      <w:r>
        <w:rPr/>
        <w:t xml:space="preserve">حدث عن البغوي، وابن صاعد.</w:t>
      </w:r>
    </w:p>
    <w:p/>
    <w:p>
      <w:pPr/>
      <w:r>
        <w:rPr/>
        <w:t xml:space="preserve">وعنه: الخلال، والعتيقي، وأبو طالب العشاري.</w:t>
      </w:r>
    </w:p>
    <w:p/>
    <w:p>
      <w:pPr/>
      <w:r>
        <w:rPr/>
        <w:t xml:space="preserve">قال العتيقي: شيخ أمي، أصوله صحاح، توفي سنة 387.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2026-07-28T14:47:01+03:00</dcterms:created>
  <dcterms:modified xsi:type="dcterms:W3CDTF">2026-07-28T14:47:01+03:00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