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ناقب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ناقب
</w:t>
      </w:r>
    </w:p>
    <w:p>
      <w:pPr/>
      <w:r>
        <w:rPr/>
        <w:t xml:space="preserve">ابن ناقب الشيخ أبو بكر محمد بن حم بن ناقب البخاري الصفار.</w:t>
      </w:r>
    </w:p>
    <w:p/>
    <w:p>
      <w:pPr/>
      <w:r>
        <w:rPr/>
        <w:t xml:space="preserve">أحد من حدث بـ ’’صحيح البخاري’’ عن أبي عبد الله الفربري.</w:t>
      </w:r>
    </w:p>
    <w:p/>
    <w:p>
      <w:pPr/>
      <w:r>
        <w:rPr/>
        <w:t xml:space="preserve">وسمع أيضا من الحسين بن إسماعيل الفارسي، ومحمد بن سعيد.</w:t>
      </w:r>
    </w:p>
    <w:p/>
    <w:p>
      <w:pPr/>
      <w:r>
        <w:rPr/>
        <w:t xml:space="preserve">توفي بسمرقند في ربيع الأول سنة إحدى وثمانين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2026-07-28T14:45:17+03:00</dcterms:created>
  <dcterms:modified xsi:type="dcterms:W3CDTF">2026-07-28T14:45:17+03:00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